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Big Five Personality Traits and Academic Achievement in Online Learning Environments: A Systematic Review and Meta-Analysis</w:t>
      </w:r>
    </w:p>
    <w:p>
      <w:pPr>
        <w:spacing w:line="480" w:lineRule="auto" w:before="0" w:after="0"/>
        <w:jc w:val="center"/>
      </w:pPr>
    </w:p>
    <w:p>
      <w:pPr>
        <w:spacing w:line="480" w:lineRule="auto" w:before="0" w:after="0"/>
        <w:jc w:val="center"/>
      </w:pPr>
      <w:r>
        <w:rPr>
          <w:rFonts w:ascii="Times New Roman" w:hAnsi="Times New Roman" w:eastAsia="Times New Roman"/>
          <w:sz w:val="24"/>
        </w:rPr>
        <w:t>[Author identifying information removed for double-anonymous peer review]</w:t>
      </w: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Author Note</w:t>
      </w:r>
    </w:p>
    <w:p>
      <w:pPr>
        <w:spacing w:line="480" w:lineRule="auto" w:before="0" w:after="0"/>
        <w:ind w:firstLine="720"/>
      </w:pPr>
      <w:r>
        <w:rPr>
          <w:rFonts w:ascii="Times New Roman" w:hAnsi="Times New Roman" w:eastAsia="Times New Roman"/>
          <w:sz w:val="24"/>
        </w:rPr>
        <w:t>Author identifying details — name, ORCID, affiliation, and correspondence information — have been removed for double-anonymous peer review and will be reinstated upon acceptance. The research received no external funding. Conflict-of-interest, pre-registration, and open-science deposit information are provided in the Declarations section using anonymised wording; identifying URLs (OSF, preprint, code repository) will be supplied to the editorial office post-acceptance.</w:t>
      </w:r>
    </w:p>
    <w:p>
      <w:r>
        <w:br w:type="page"/>
      </w:r>
    </w:p>
    <w:p>
      <w:pPr>
        <w:spacing w:line="480" w:lineRule="auto" w:before="0" w:after="0"/>
      </w:pPr>
    </w:p>
    <w:p>
      <w:pPr>
        <w:spacing w:line="480" w:lineRule="auto" w:before="0" w:after="0"/>
      </w:pPr>
      <w:r>
        <w:rPr>
          <w:rFonts w:ascii="Times New Roman" w:hAnsi="Times New Roman" w:eastAsia="Times New Roman"/>
          <w:b/>
          <w:sz w:val="24"/>
        </w:rPr>
        <w:t>Declarations</w:t>
      </w:r>
    </w:p>
    <w:p>
      <w:pPr>
        <w:spacing w:line="480" w:lineRule="auto" w:before="0" w:after="0"/>
      </w:pPr>
      <w:r>
        <w:rPr>
          <w:rFonts w:ascii="Times New Roman" w:hAnsi="Times New Roman" w:eastAsia="Times New Roman"/>
          <w:b/>
          <w:sz w:val="24"/>
        </w:rPr>
        <w:t>Conflict of Interest</w:t>
      </w:r>
    </w:p>
    <w:p>
      <w:pPr>
        <w:spacing w:line="480" w:lineRule="auto" w:before="0" w:after="0"/>
      </w:pPr>
      <w:r>
        <w:rPr>
          <w:rFonts w:ascii="Times New Roman" w:hAnsi="Times New Roman" w:eastAsia="Times New Roman"/>
          <w:sz w:val="24"/>
        </w:rPr>
        <w:t>The author declares that there are no financial or personal relationships with other people or organizations that could inappropriately influence this work, except that one of the author's prior primary studies (the author's own prior primary study) is potentially eligible for inclusion in the present meta-analysis. This conflict is addressed through a pre-specified sensitivity analysis excluding the author's own study.</w:t>
      </w:r>
    </w:p>
    <w:p>
      <w:pPr>
        <w:spacing w:line="480" w:lineRule="auto" w:before="0" w:after="0"/>
      </w:pPr>
    </w:p>
    <w:p>
      <w:pPr>
        <w:spacing w:line="480" w:lineRule="auto" w:before="0" w:after="0"/>
      </w:pPr>
      <w:r>
        <w:rPr>
          <w:rFonts w:ascii="Times New Roman" w:hAnsi="Times New Roman" w:eastAsia="Times New Roman"/>
          <w:b/>
          <w:sz w:val="24"/>
        </w:rPr>
        <w:t>Funding</w:t>
      </w:r>
    </w:p>
    <w:p>
      <w:pPr>
        <w:spacing w:line="480" w:lineRule="auto" w:before="0" w:after="0"/>
      </w:pPr>
      <w:r>
        <w:rPr>
          <w:rFonts w:ascii="Times New Roman" w:hAnsi="Times New Roman" w:eastAsia="Times New Roman"/>
          <w:sz w:val="24"/>
        </w:rPr>
        <w:t>This research did not receive any specific grant from funding agencies in the public, commercial, or not-for-profit sectors.</w:t>
      </w:r>
    </w:p>
    <w:p>
      <w:pPr>
        <w:spacing w:line="480" w:lineRule="auto" w:before="0" w:after="0"/>
      </w:pPr>
    </w:p>
    <w:p>
      <w:pPr>
        <w:spacing w:line="480" w:lineRule="auto" w:before="0" w:after="0"/>
      </w:pPr>
      <w:r>
        <w:rPr>
          <w:rFonts w:ascii="Times New Roman" w:hAnsi="Times New Roman" w:eastAsia="Times New Roman"/>
          <w:b/>
          <w:sz w:val="24"/>
        </w:rPr>
        <w:t>Ethics Approval</w:t>
      </w:r>
    </w:p>
    <w:p>
      <w:pPr>
        <w:spacing w:line="480" w:lineRule="auto" w:before="0" w:after="0"/>
      </w:pPr>
      <w:r>
        <w:rPr>
          <w:rFonts w:ascii="Times New Roman" w:hAnsi="Times New Roman" w:eastAsia="Times New Roman"/>
          <w:sz w:val="24"/>
        </w:rPr>
        <w:t>Not applicable. This study is a systematic review and meta-analysis of previously published quantitative research and did not involve any direct collection of data from human participants by the present author. As no new primary data were collected, no Institutional Review Board (IRB) or Research Ethics Committee approval was required for the conduct of this synthesis. The conduct of this review followed the ethical principles outlined in the Declaration of Helsinki (as revised in 2013) and the PRISMA 2020 reporting guidelines for systematic reviews. Ethical approval for each of the included primary studies was the responsibility of the original investigators of those studies, as documented in their respective publications.</w:t>
      </w:r>
    </w:p>
    <w:p>
      <w:pPr>
        <w:spacing w:line="480" w:lineRule="auto" w:before="0" w:after="0"/>
      </w:pPr>
    </w:p>
    <w:p>
      <w:pPr>
        <w:spacing w:line="480" w:lineRule="auto" w:before="0" w:after="0"/>
      </w:pPr>
      <w:r>
        <w:rPr>
          <w:rFonts w:ascii="Times New Roman" w:hAnsi="Times New Roman" w:eastAsia="Times New Roman"/>
          <w:b/>
          <w:sz w:val="24"/>
        </w:rPr>
        <w:t>Consent to Participate</w:t>
      </w:r>
    </w:p>
    <w:p>
      <w:pPr>
        <w:spacing w:line="480" w:lineRule="auto" w:before="0" w:after="0"/>
      </w:pPr>
      <w:r>
        <w:rPr>
          <w:rFonts w:ascii="Times New Roman" w:hAnsi="Times New Roman" w:eastAsia="Times New Roman"/>
          <w:sz w:val="24"/>
        </w:rPr>
        <w:t>Not applicable. This systematic review and meta-analysis did not involve any direct interaction with, or recruitment of, human participants by the present author. Informed consent and consent to participate for the underlying data were obtained by the original investigators of each included primary study at the time of original data collection, in accordance with the institutional and ethical standards applicable at that time.</w:t>
      </w:r>
    </w:p>
    <w:p>
      <w:pPr>
        <w:spacing w:line="480" w:lineRule="auto" w:before="0" w:after="0"/>
      </w:pPr>
    </w:p>
    <w:p>
      <w:pPr>
        <w:spacing w:line="480" w:lineRule="auto" w:before="0" w:after="0"/>
      </w:pPr>
      <w:r>
        <w:rPr>
          <w:rFonts w:ascii="Times New Roman" w:hAnsi="Times New Roman" w:eastAsia="Times New Roman"/>
          <w:b/>
          <w:sz w:val="24"/>
        </w:rPr>
        <w:t>Consent for Publication</w:t>
      </w:r>
    </w:p>
    <w:p>
      <w:pPr>
        <w:spacing w:line="480" w:lineRule="auto" w:before="0" w:after="0"/>
      </w:pPr>
      <w:r>
        <w:rPr>
          <w:rFonts w:ascii="Times New Roman" w:hAnsi="Times New Roman" w:eastAsia="Times New Roman"/>
          <w:sz w:val="24"/>
        </w:rPr>
        <w:t>Not applicable. This manuscript does not contain any individual person's data in any form (including individual details, images, or videos).</w:t>
      </w:r>
    </w:p>
    <w:p>
      <w:pPr>
        <w:spacing w:line="480" w:lineRule="auto" w:before="0" w:after="0"/>
      </w:pPr>
    </w:p>
    <w:p>
      <w:pPr>
        <w:spacing w:line="480" w:lineRule="auto" w:before="0" w:after="0"/>
      </w:pPr>
      <w:r>
        <w:rPr>
          <w:rFonts w:ascii="Times New Roman" w:hAnsi="Times New Roman" w:eastAsia="Times New Roman"/>
          <w:b/>
          <w:sz w:val="24"/>
        </w:rPr>
        <w:t>Human Ethics and Consent to Participate Declarations</w:t>
      </w:r>
    </w:p>
    <w:p>
      <w:pPr>
        <w:spacing w:line="480" w:lineRule="auto" w:before="0" w:after="0"/>
      </w:pPr>
      <w:r>
        <w:rPr>
          <w:rFonts w:ascii="Times New Roman" w:hAnsi="Times New Roman" w:eastAsia="Times New Roman"/>
          <w:sz w:val="24"/>
        </w:rPr>
        <w:t>Not applicable.</w:t>
      </w:r>
    </w:p>
    <w:p>
      <w:pPr>
        <w:spacing w:line="480" w:lineRule="auto" w:before="0" w:after="0"/>
      </w:pPr>
    </w:p>
    <w:p>
      <w:pPr>
        <w:spacing w:line="480" w:lineRule="auto" w:before="0" w:after="0"/>
      </w:pPr>
      <w:r>
        <w:rPr>
          <w:rFonts w:ascii="Times New Roman" w:hAnsi="Times New Roman" w:eastAsia="Times New Roman"/>
          <w:b/>
          <w:sz w:val="24"/>
        </w:rPr>
        <w:t>Pre-registration</w:t>
      </w:r>
    </w:p>
    <w:p>
      <w:pPr>
        <w:spacing w:line="480" w:lineRule="auto" w:before="0" w:after="0"/>
      </w:pPr>
      <w:r>
        <w:rPr>
          <w:rFonts w:ascii="Times New Roman" w:hAnsi="Times New Roman" w:eastAsia="Times New Roman"/>
          <w:sz w:val="24"/>
        </w:rPr>
        <w:t>This systematic review and meta-analysis was pre-registered on OSF Registries ([OSF preregistration link — provided post-acceptance]; DOI: [OSF preregistration DOI — provided post-acceptance]) on April 23, 2026, prior to formal data extraction and quantitative synthesis. The full protocol (PRISMA-P 2015 compliant) and supplementary materials are publicly available in the associated OSF project ([OSF project DOI — provided post-acceptance]).</w:t>
      </w:r>
    </w:p>
    <w:p>
      <w:pPr>
        <w:spacing w:line="480" w:lineRule="auto" w:before="0" w:after="0"/>
      </w:pPr>
    </w:p>
    <w:p>
      <w:pPr>
        <w:spacing w:line="480" w:lineRule="auto" w:before="0" w:after="0"/>
      </w:pPr>
      <w:r>
        <w:rPr>
          <w:rFonts w:ascii="Times New Roman" w:hAnsi="Times New Roman" w:eastAsia="Times New Roman"/>
          <w:b/>
          <w:sz w:val="24"/>
        </w:rPr>
        <w:t>Data Availability Statement</w:t>
      </w:r>
    </w:p>
    <w:p>
      <w:pPr>
        <w:spacing w:line="480" w:lineRule="auto" w:before="0" w:after="0"/>
      </w:pPr>
      <w:r>
        <w:rPr>
          <w:rFonts w:ascii="Times New Roman" w:hAnsi="Times New Roman" w:eastAsia="Times New Roman"/>
          <w:sz w:val="24"/>
        </w:rPr>
        <w:t>All materials underpinning this systematic review and meta-analysis have been made available to the editorial office and referees as anonymised supplementary files with this submission. Specifically: (a) the completed PRISMA 2020 27-item checklist with section-level locations (prisma_2020_checklist_anon.docx); (b) the full Boolean search strategy, database and source list, query-level hit counts, and the documented deviation from the pre-registered search plan (search_strategy_anon.docx); (c) the PRISMA 2020 flow diagram (reproduced as Figure 1 of the main manuscript); (d) the eligibility criteria, screening decisions, and full-text exclusion reasons (reported in the Methods and Results sections of the manuscript); (e) the data-extraction table (reproduced as Table 1 of the manuscript) listing every included study's country, modality, sample size, personality instrument, outcome operationalisation, era, region, JBI risk-of-bias score, and inclusion status; (f) the synthesis tables (Tables 2-5 of the manuscript: pooled effects, moderator analyses, sensitivity analyses, and adapted GRADE ratings); and (g) the anonymised Declaration of Interest (declaration_of_interest_anon.docx). Beyond the materials uploaded here, the full pre-registration record on a public open-science registry, the seven-component open-science project (protocol, search log, screening ledger, data-extraction CSV, JBI risk-of-bias spreadsheet, analysis code and outputs, and article-level DOI index), and the version-controlled code repository hosting the full Python analysis pipeline have all been permanently deposited under stable DOIs and are publicly accessible. Those DOIs are withheld at this stage solely because their URLs identify the author and will be supplied to the editorial office post-acceptance for inclusion in the final published version. Nothing has been redacted from these deposits; the only restriction is the temporary withholding of identifying URLs for double-anonymous review.</w:t>
      </w:r>
    </w:p>
    <w:p>
      <w:pPr>
        <w:spacing w:line="480" w:lineRule="auto" w:before="0" w:after="0"/>
      </w:pPr>
    </w:p>
    <w:p>
      <w:pPr>
        <w:spacing w:line="480" w:lineRule="auto" w:before="0" w:after="0"/>
      </w:pPr>
      <w:r>
        <w:rPr>
          <w:rFonts w:ascii="Times New Roman" w:hAnsi="Times New Roman" w:eastAsia="Times New Roman"/>
          <w:b/>
          <w:sz w:val="24"/>
        </w:rPr>
        <w:t>Authors' contributions</w:t>
      </w:r>
    </w:p>
    <w:p>
      <w:pPr>
        <w:spacing w:line="480" w:lineRule="auto" w:before="0" w:after="0"/>
      </w:pPr>
      <w:r>
        <w:rPr>
          <w:rFonts w:ascii="Times New Roman" w:hAnsi="Times New Roman" w:eastAsia="Times New Roman"/>
          <w:sz w:val="24"/>
        </w:rPr>
        <w:t>The author (the author) conceived and designed the review, developed the search strategy and eligibility criteria, performed the database searches, conducted screening, extracted data, performed the statistical analyses, and drafted and revised the manuscript. The author approves the final version.</w:t>
      </w:r>
    </w:p>
    <w:p>
      <w:pPr>
        <w:spacing w:line="480" w:lineRule="auto" w:before="0" w:after="0"/>
      </w:pPr>
    </w:p>
    <w:p>
      <w:pPr>
        <w:spacing w:line="480" w:lineRule="auto" w:before="0" w:after="0"/>
      </w:pPr>
      <w:r>
        <w:rPr>
          <w:rFonts w:ascii="Times New Roman" w:hAnsi="Times New Roman" w:eastAsia="Times New Roman"/>
          <w:b/>
          <w:sz w:val="24"/>
        </w:rPr>
        <w:t>Preprint Statement</w:t>
      </w:r>
    </w:p>
    <w:p>
      <w:pPr>
        <w:spacing w:line="480" w:lineRule="auto" w:before="0" w:after="0"/>
      </w:pPr>
      <w:r>
        <w:rPr>
          <w:rFonts w:ascii="Times New Roman" w:hAnsi="Times New Roman" w:eastAsia="Times New Roman"/>
          <w:sz w:val="24"/>
        </w:rPr>
        <w:t>A preprint version of this manuscript has been deposited on Research Square ([Preprint DOI — provided post-acceptance]). This preprint has not been peer-reviewed by a journal. Any substantive revisions introduced during peer review are reflected in the present journal version and in a versioned preprint update.</w:t>
      </w:r>
    </w:p>
    <w:p>
      <w:pPr>
        <w:spacing w:line="480" w:lineRule="auto" w:before="0" w:after="0"/>
      </w:pPr>
    </w:p>
    <w:p>
      <w:pPr>
        <w:spacing w:line="480" w:lineRule="auto" w:before="0" w:after="0"/>
      </w:pPr>
      <w:r>
        <w:rPr>
          <w:rFonts w:ascii="Times New Roman" w:hAnsi="Times New Roman" w:eastAsia="Times New Roman"/>
          <w:b/>
          <w:sz w:val="24"/>
        </w:rPr>
        <w:t>Acknowledgments</w:t>
      </w:r>
    </w:p>
    <w:p>
      <w:pPr>
        <w:spacing w:line="480" w:lineRule="auto" w:before="0" w:after="0"/>
      </w:pPr>
      <w:r>
        <w:rPr>
          <w:rFonts w:ascii="Times New Roman" w:hAnsi="Times New Roman" w:eastAsia="Times New Roman"/>
          <w:sz w:val="24"/>
        </w:rPr>
        <w:t>The author thanks the investigators of the included primary studies for making their correlation matrices and sample characteristics available in the published record, and the maintainers of the open-access repositories (OSF, Research Square, PsyArXiv, arXiv, and institutional repositories) that enabled retrieval of full-text articles. The author also acknowledges the developers of the open-source scientific Python stack (NumPy, SciPy, pandas, Matplotlib, statsmodels, and python-docx) on which the analyses and manuscript preparation depended. No funding bodies, research assistants, or third-party organizations contributed to the design, conduct, or reporting of this review.</w:t>
      </w:r>
    </w:p>
    <w:p>
      <w:pPr>
        <w:spacing w:line="480" w:lineRule="auto" w:before="0" w:after="0"/>
      </w:pPr>
    </w:p>
    <w:p>
      <w:r>
        <w:br w:type="page"/>
      </w:r>
    </w:p>
    <w:p>
      <w:pPr>
        <w:pStyle w:val="Heading1"/>
        <w:spacing w:line="480" w:lineRule="auto" w:before="0" w:after="0"/>
      </w:pPr>
      <w:r>
        <w:t>Abstract</w:t>
      </w:r>
    </w:p>
    <w:p>
      <w:pPr>
        <w:spacing w:line="480" w:lineRule="auto" w:before="0" w:after="0"/>
      </w:pPr>
      <w:r>
        <w:rPr>
          <w:rFonts w:ascii="Times New Roman" w:hAnsi="Times New Roman" w:eastAsia="Times New Roman"/>
          <w:sz w:val="24"/>
        </w:rPr>
        <w:t xml:space="preserve">Existing meta-analyses of Big Five personality traits and academic achievement have pooled face-to-face, blended, and online samples without testing delivery mode as a moderator. This pre-registered systematic review and meta-analysis offers a first, preliminary quantitative synthesis dedicated to online learning environments. Following PRISMA 2020 standards, 25 primary studies were retained for systematic synthesis (cataloguing 31 full-text records in Table 1, including 6 documented post-eligibility exclusions for PRISMA transparency) reporting Big Five personality and academic achievement in online, blended, or MOOC environments. Ten studies (pooled </w:t>
      </w:r>
      <w:r>
        <w:rPr>
          <w:rFonts w:ascii="Times New Roman" w:hAnsi="Times New Roman" w:eastAsia="Times New Roman"/>
          <w:i/>
          <w:sz w:val="24"/>
        </w:rPr>
        <w:t>N</w:t>
      </w:r>
      <w:r>
        <w:rPr>
          <w:rFonts w:ascii="Times New Roman" w:hAnsi="Times New Roman" w:eastAsia="Times New Roman"/>
          <w:sz w:val="24"/>
        </w:rPr>
        <w:t xml:space="preserve"> = 3,384) contributed direct or β-converted Pearson correlations to the primary achievement pool, analysed with random-effects meta-analysis using Hartung-Knapp-Sidik-Jonkman adjustment on the Fisher </w:t>
      </w:r>
      <w:r>
        <w:rPr>
          <w:rFonts w:ascii="Times New Roman" w:hAnsi="Times New Roman" w:eastAsia="Times New Roman"/>
          <w:i/>
          <w:sz w:val="24"/>
        </w:rPr>
        <w:t>z</w:t>
      </w:r>
      <w:r>
        <w:rPr>
          <w:rFonts w:ascii="Times New Roman" w:hAnsi="Times New Roman" w:eastAsia="Times New Roman"/>
          <w:sz w:val="24"/>
        </w:rPr>
        <w:t xml:space="preserve"> scale. Conscientiousness was the strongest predictor (pooled </w:t>
      </w:r>
      <w:r>
        <w:rPr>
          <w:rFonts w:ascii="Times New Roman" w:hAnsi="Times New Roman" w:eastAsia="Times New Roman"/>
          <w:i/>
          <w:sz w:val="24"/>
        </w:rPr>
        <w:t>r</w:t>
      </w:r>
      <w:r>
        <w:rPr>
          <w:rFonts w:ascii="Times New Roman" w:hAnsi="Times New Roman" w:eastAsia="Times New Roman"/>
          <w:sz w:val="24"/>
        </w:rPr>
        <w:t xml:space="preserve"> = .167, 95% CI [.089, .243]; </w:t>
      </w:r>
      <w:r>
        <w:rPr>
          <w:rFonts w:ascii="Times New Roman" w:hAnsi="Times New Roman" w:eastAsia="Times New Roman"/>
          <w:i/>
          <w:sz w:val="24"/>
        </w:rPr>
        <w:t>I²</w:t>
      </w:r>
      <w:r>
        <w:rPr>
          <w:rFonts w:ascii="Times New Roman" w:hAnsi="Times New Roman" w:eastAsia="Times New Roman"/>
          <w:sz w:val="24"/>
        </w:rPr>
        <w:t xml:space="preserve"> = 65.1%), followed by Agreeableness (</w:t>
      </w:r>
      <w:r>
        <w:rPr>
          <w:rFonts w:ascii="Times New Roman" w:hAnsi="Times New Roman" w:eastAsia="Times New Roman"/>
          <w:i/>
          <w:sz w:val="24"/>
        </w:rPr>
        <w:t>r</w:t>
      </w:r>
      <w:r>
        <w:rPr>
          <w:rFonts w:ascii="Times New Roman" w:hAnsi="Times New Roman" w:eastAsia="Times New Roman"/>
          <w:sz w:val="24"/>
        </w:rPr>
        <w:t xml:space="preserve"> = .112 [−.031, .250]), Openness (</w:t>
      </w:r>
      <w:r>
        <w:rPr>
          <w:rFonts w:ascii="Times New Roman" w:hAnsi="Times New Roman" w:eastAsia="Times New Roman"/>
          <w:i/>
          <w:sz w:val="24"/>
        </w:rPr>
        <w:t>r</w:t>
      </w:r>
      <w:r>
        <w:rPr>
          <w:rFonts w:ascii="Times New Roman" w:hAnsi="Times New Roman" w:eastAsia="Times New Roman"/>
          <w:sz w:val="24"/>
        </w:rPr>
        <w:t xml:space="preserve"> = .086 [−.044, .214]), Neuroticism (</w:t>
      </w:r>
      <w:r>
        <w:rPr>
          <w:rFonts w:ascii="Times New Roman" w:hAnsi="Times New Roman" w:eastAsia="Times New Roman"/>
          <w:i/>
          <w:sz w:val="24"/>
        </w:rPr>
        <w:t>r</w:t>
      </w:r>
      <w:r>
        <w:rPr>
          <w:rFonts w:ascii="Times New Roman" w:hAnsi="Times New Roman" w:eastAsia="Times New Roman"/>
          <w:sz w:val="24"/>
        </w:rPr>
        <w:t xml:space="preserve"> = .018), and Extraversion (</w:t>
      </w:r>
      <w:r>
        <w:rPr>
          <w:rFonts w:ascii="Times New Roman" w:hAnsi="Times New Roman" w:eastAsia="Times New Roman"/>
          <w:i/>
          <w:sz w:val="24"/>
        </w:rPr>
        <w:t>r</w:t>
      </w:r>
      <w:r>
        <w:rPr>
          <w:rFonts w:ascii="Times New Roman" w:hAnsi="Times New Roman" w:eastAsia="Times New Roman"/>
          <w:sz w:val="24"/>
        </w:rPr>
        <w:t xml:space="preserve"> = .002). Two pre-registered subgroup contrasts showed large between-group differences on Extraversion — by Region (Asian samples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by Outcome Type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 but these contrasts rest on a small number of studies per subgroup and should be treated as exploratory rather than confirmatory. The findings are broadly consistent with the Personality-Achievement Saturation Hypothesis (Meyer et al., 2023) extended to technology-mediated learning, but the small primary pool (</w:t>
      </w:r>
      <w:r>
        <w:rPr>
          <w:rFonts w:ascii="Times New Roman" w:hAnsi="Times New Roman" w:eastAsia="Times New Roman"/>
          <w:i/>
          <w:sz w:val="24"/>
        </w:rPr>
        <w:t>k</w:t>
      </w:r>
      <w:r>
        <w:rPr>
          <w:rFonts w:ascii="Times New Roman" w:hAnsi="Times New Roman" w:eastAsia="Times New Roman"/>
          <w:sz w:val="24"/>
        </w:rPr>
        <w:t xml:space="preserve"> = 10), substantial heterogeneity, and wide prediction intervals (which include zero for most traits) mean that this consistency does not yet constitute strong confirmation. GRADE confidence ranged from Moderate (Conscientiousness, Extraversion) to Low (Openness, Agreeableness, Neuroticism). The synthesis offers a tentative empirical reference point and identifies a priority research agenda — replication with a larger and more linguistically inclusive corpus, facet-level analyses, and explicit modality contrasts — but the conclusions should not be over-extrapolated to practical pedagogical recommendations on the basis of the present evidence base.</w:t>
      </w:r>
    </w:p>
    <w:p>
      <w:pPr>
        <w:spacing w:line="480" w:lineRule="auto" w:before="0" w:after="0"/>
      </w:pPr>
    </w:p>
    <w:p>
      <w:pPr>
        <w:spacing w:line="480" w:lineRule="auto" w:before="0" w:after="0"/>
      </w:pPr>
      <w:r>
        <w:rPr>
          <w:rFonts w:ascii="Times New Roman" w:hAnsi="Times New Roman" w:eastAsia="Times New Roman"/>
          <w:sz w:val="24"/>
        </w:rPr>
        <w:t>Keywords: Big Five, Five-Factor Model, online learning, e-learning, MOOC, academic achievement, meta-analysis, systematic review, PRISMA</w:t>
      </w:r>
    </w:p>
    <w:p>
      <w:pPr>
        <w:pStyle w:val="Heading1"/>
        <w:spacing w:line="480" w:lineRule="auto" w:before="0" w:after="0"/>
      </w:pPr>
      <w:r>
        <w:t>Introduction</w:t>
      </w:r>
    </w:p>
    <w:p>
      <w:pPr>
        <w:spacing w:line="480" w:lineRule="auto" w:before="0" w:after="0"/>
        <w:ind w:firstLine="720"/>
      </w:pPr>
      <w:r>
        <w:rPr>
          <w:rFonts w:ascii="Times New Roman" w:hAnsi="Times New Roman" w:eastAsia="Times New Roman"/>
          <w:sz w:val="24"/>
        </w:rPr>
        <w:t>Academic performance in higher education has shifted dramatically in the past decade, first through the gradual adoption of learning management systems and massive open online courses, and then, abruptly, through the COVID-19 pandemic, which forced millions of students worldwide into fully online or blended learning environments. As of 2023, a substantial proportion of post-secondary instruction continues to be delivered online or in hybrid modalities, even in contexts where face-to-face teaching is again available. This structural shift raises a fundamental question: do the non-cognitive predictors of academic achievement that were established in face-to-face classrooms retain their predictive validity when instruction is mediated by technology? Personality traits, and in particular the Big Five (Five-Factor Model) dimensions of Conscientiousness, Openness to Experience, Extraversion, Agreeableness, and Neuroticism, are among the most widely studied non-cognitive predictors of academic achievement (Mammadov, 2022; Poropat, 2009). Yet the accumulated meta-analytic evidence, as reviewed below, has been produced almost entirely from samples in which delivery modality is treated as noise rather than as a substantive moderator. The present review is the first to address this gap quantitatively.</w:t>
      </w:r>
    </w:p>
    <w:p>
      <w:pPr>
        <w:pStyle w:val="Heading2"/>
        <w:spacing w:line="480" w:lineRule="auto" w:before="0" w:after="0"/>
      </w:pPr>
      <w:r>
        <w:t>Personality and Academic Achievement in Face-to-Face Contexts</w:t>
      </w:r>
    </w:p>
    <w:p>
      <w:pPr>
        <w:spacing w:line="480" w:lineRule="auto" w:before="0" w:after="0"/>
        <w:ind w:firstLine="720"/>
      </w:pPr>
      <w:r>
        <w:rPr>
          <w:rFonts w:ascii="Times New Roman" w:hAnsi="Times New Roman" w:eastAsia="Times New Roman"/>
          <w:sz w:val="24"/>
        </w:rPr>
        <w:t xml:space="preserve">Eight large-scale meta-analyses have established a robust pattern of associations between the Big Five personality traits and academic achievement. Poropat (2009), synthesizing 138 samples and over 70,000 participants, reported a corrected correlation of </w:t>
      </w:r>
      <w:r>
        <w:rPr>
          <w:rFonts w:ascii="Times New Roman" w:hAnsi="Times New Roman" w:eastAsia="Times New Roman"/>
          <w:i/>
          <w:sz w:val="24"/>
        </w:rPr>
        <w:t>ρ</w:t>
      </w:r>
      <w:r>
        <w:rPr>
          <w:rFonts w:ascii="Times New Roman" w:hAnsi="Times New Roman" w:eastAsia="Times New Roman"/>
          <w:sz w:val="24"/>
        </w:rPr>
        <w:t xml:space="preserve"> = .22 between Conscientiousness and academic performance, with smaller but significant effects for Openness (</w:t>
      </w:r>
      <w:r>
        <w:rPr>
          <w:rFonts w:ascii="Times New Roman" w:hAnsi="Times New Roman" w:eastAsia="Times New Roman"/>
          <w:i/>
          <w:sz w:val="24"/>
        </w:rPr>
        <w:t>ρ</w:t>
      </w:r>
      <w:r>
        <w:rPr>
          <w:rFonts w:ascii="Times New Roman" w:hAnsi="Times New Roman" w:eastAsia="Times New Roman"/>
          <w:sz w:val="24"/>
        </w:rPr>
        <w:t xml:space="preserve"> = .12) and Agreeableness (</w:t>
      </w:r>
      <w:r>
        <w:rPr>
          <w:rFonts w:ascii="Times New Roman" w:hAnsi="Times New Roman" w:eastAsia="Times New Roman"/>
          <w:i/>
          <w:sz w:val="24"/>
        </w:rPr>
        <w:t>ρ</w:t>
      </w:r>
      <w:r>
        <w:rPr>
          <w:rFonts w:ascii="Times New Roman" w:hAnsi="Times New Roman" w:eastAsia="Times New Roman"/>
          <w:sz w:val="24"/>
        </w:rPr>
        <w:t xml:space="preserve"> = .07), and essentially null effects for Extraversion (</w:t>
      </w:r>
      <w:r>
        <w:rPr>
          <w:rFonts w:ascii="Times New Roman" w:hAnsi="Times New Roman" w:eastAsia="Times New Roman"/>
          <w:i/>
          <w:sz w:val="24"/>
        </w:rPr>
        <w:t>ρ</w:t>
      </w:r>
      <w:r>
        <w:rPr>
          <w:rFonts w:ascii="Times New Roman" w:hAnsi="Times New Roman" w:eastAsia="Times New Roman"/>
          <w:sz w:val="24"/>
        </w:rPr>
        <w:t xml:space="preserve"> = −.01) and Neuroticism (</w:t>
      </w:r>
      <w:r>
        <w:rPr>
          <w:rFonts w:ascii="Times New Roman" w:hAnsi="Times New Roman" w:eastAsia="Times New Roman"/>
          <w:i/>
          <w:sz w:val="24"/>
        </w:rPr>
        <w:t>ρ</w:t>
      </w:r>
      <w:r>
        <w:rPr>
          <w:rFonts w:ascii="Times New Roman" w:hAnsi="Times New Roman" w:eastAsia="Times New Roman"/>
          <w:sz w:val="24"/>
        </w:rPr>
        <w:t xml:space="preserve"> = .02). These findings were replicated and extended by McAbee and Oswald (2013; </w:t>
      </w:r>
      <w:r>
        <w:rPr>
          <w:rFonts w:ascii="Times New Roman" w:hAnsi="Times New Roman" w:eastAsia="Times New Roman"/>
          <w:i/>
          <w:sz w:val="24"/>
        </w:rPr>
        <w:t>k</w:t>
      </w:r>
      <w:r>
        <w:rPr>
          <w:rFonts w:ascii="Times New Roman" w:hAnsi="Times New Roman" w:eastAsia="Times New Roman"/>
          <w:sz w:val="24"/>
        </w:rPr>
        <w:t xml:space="preserve"> = 57, </w:t>
      </w:r>
      <w:r>
        <w:rPr>
          <w:rFonts w:ascii="Times New Roman" w:hAnsi="Times New Roman" w:eastAsia="Times New Roman"/>
          <w:i/>
          <w:sz w:val="24"/>
        </w:rPr>
        <w:t>N</w:t>
      </w:r>
      <w:r>
        <w:rPr>
          <w:rFonts w:ascii="Times New Roman" w:hAnsi="Times New Roman" w:eastAsia="Times New Roman"/>
          <w:sz w:val="24"/>
        </w:rPr>
        <w:t xml:space="preserve"> = 26,382; C </w:t>
      </w:r>
      <w:r>
        <w:rPr>
          <w:rFonts w:ascii="Times New Roman" w:hAnsi="Times New Roman" w:eastAsia="Times New Roman"/>
          <w:i/>
          <w:sz w:val="24"/>
        </w:rPr>
        <w:t>ρ</w:t>
      </w:r>
      <w:r>
        <w:rPr>
          <w:rFonts w:ascii="Times New Roman" w:hAnsi="Times New Roman" w:eastAsia="Times New Roman"/>
          <w:sz w:val="24"/>
        </w:rPr>
        <w:t xml:space="preserve"> = .26) and by Vedel (2014; </w:t>
      </w:r>
      <w:r>
        <w:rPr>
          <w:rFonts w:ascii="Times New Roman" w:hAnsi="Times New Roman" w:eastAsia="Times New Roman"/>
          <w:i/>
          <w:sz w:val="24"/>
        </w:rPr>
        <w:t>k</w:t>
      </w:r>
      <w:r>
        <w:rPr>
          <w:rFonts w:ascii="Times New Roman" w:hAnsi="Times New Roman" w:eastAsia="Times New Roman"/>
          <w:sz w:val="24"/>
        </w:rPr>
        <w:t xml:space="preserve"> = 21, </w:t>
      </w:r>
      <w:r>
        <w:rPr>
          <w:rFonts w:ascii="Times New Roman" w:hAnsi="Times New Roman" w:eastAsia="Times New Roman"/>
          <w:i/>
          <w:sz w:val="24"/>
        </w:rPr>
        <w:t>N</w:t>
      </w:r>
      <w:r>
        <w:rPr>
          <w:rFonts w:ascii="Times New Roman" w:hAnsi="Times New Roman" w:eastAsia="Times New Roman"/>
          <w:sz w:val="24"/>
        </w:rPr>
        <w:t xml:space="preserve"> = 17,717; C </w:t>
      </w:r>
      <w:r>
        <w:rPr>
          <w:rFonts w:ascii="Times New Roman" w:hAnsi="Times New Roman" w:eastAsia="Times New Roman"/>
          <w:i/>
          <w:sz w:val="24"/>
        </w:rPr>
        <w:t>ρ</w:t>
      </w:r>
      <w:r>
        <w:rPr>
          <w:rFonts w:ascii="Times New Roman" w:hAnsi="Times New Roman" w:eastAsia="Times New Roman"/>
          <w:sz w:val="24"/>
        </w:rPr>
        <w:t xml:space="preserve"> = .26), both restricted to tertiary education. Stajkovic et al. (2018) provided additional evidence that Conscientiousness predicts academic achievement both directly and indirectly through self-efficacy, with the self-efficacy path carrying a substantial proportion of the Conscientiousness effect (</w:t>
      </w:r>
      <w:r>
        <w:rPr>
          <w:rFonts w:ascii="Times New Roman" w:hAnsi="Times New Roman" w:eastAsia="Times New Roman"/>
          <w:i/>
          <w:sz w:val="24"/>
        </w:rPr>
        <w:t>β</w:t>
      </w:r>
      <w:r>
        <w:rPr>
          <w:rFonts w:ascii="Times New Roman" w:hAnsi="Times New Roman" w:eastAsia="Times New Roman"/>
          <w:sz w:val="24"/>
        </w:rPr>
        <w:t xml:space="preserve"> = .24 to .33).</w:t>
      </w:r>
    </w:p>
    <w:p>
      <w:pPr>
        <w:spacing w:line="480" w:lineRule="auto" w:before="0" w:after="0"/>
        <w:ind w:firstLine="720"/>
      </w:pPr>
      <w:r>
        <w:rPr>
          <w:rFonts w:ascii="Times New Roman" w:hAnsi="Times New Roman" w:eastAsia="Times New Roman"/>
          <w:sz w:val="24"/>
        </w:rPr>
        <w:t xml:space="preserve">More recent syntheses have substantially expanded the evidence base. Mammadov (2022), in the largest meta-analysis to date (267 independent samples, </w:t>
      </w:r>
      <w:r>
        <w:rPr>
          <w:rFonts w:ascii="Times New Roman" w:hAnsi="Times New Roman" w:eastAsia="Times New Roman"/>
          <w:i/>
          <w:sz w:val="24"/>
        </w:rPr>
        <w:t>N</w:t>
      </w:r>
      <w:r>
        <w:rPr>
          <w:rFonts w:ascii="Times New Roman" w:hAnsi="Times New Roman" w:eastAsia="Times New Roman"/>
          <w:sz w:val="24"/>
        </w:rPr>
        <w:t xml:space="preserve"> = 413,074), reported a corrected pooled correlation of </w:t>
      </w:r>
      <w:r>
        <w:rPr>
          <w:rFonts w:ascii="Times New Roman" w:hAnsi="Times New Roman" w:eastAsia="Times New Roman"/>
          <w:i/>
          <w:sz w:val="24"/>
        </w:rPr>
        <w:t>ρ</w:t>
      </w:r>
      <w:r>
        <w:rPr>
          <w:rFonts w:ascii="Times New Roman" w:hAnsi="Times New Roman" w:eastAsia="Times New Roman"/>
          <w:sz w:val="24"/>
        </w:rPr>
        <w:t xml:space="preserve"> = .27 for Conscientiousness and </w:t>
      </w:r>
      <w:r>
        <w:rPr>
          <w:rFonts w:ascii="Times New Roman" w:hAnsi="Times New Roman" w:eastAsia="Times New Roman"/>
          <w:i/>
          <w:sz w:val="24"/>
        </w:rPr>
        <w:t>ρ</w:t>
      </w:r>
      <w:r>
        <w:rPr>
          <w:rFonts w:ascii="Times New Roman" w:hAnsi="Times New Roman" w:eastAsia="Times New Roman"/>
          <w:sz w:val="24"/>
        </w:rPr>
        <w:t xml:space="preserve"> = .16 for Openness, and documented a striking cultural moderation effect in which Asian samples showed markedly stronger associations (C </w:t>
      </w:r>
      <w:r>
        <w:rPr>
          <w:rFonts w:ascii="Times New Roman" w:hAnsi="Times New Roman" w:eastAsia="Times New Roman"/>
          <w:i/>
          <w:sz w:val="24"/>
        </w:rPr>
        <w:t>ρ</w:t>
      </w:r>
      <w:r>
        <w:rPr>
          <w:rFonts w:ascii="Times New Roman" w:hAnsi="Times New Roman" w:eastAsia="Times New Roman"/>
          <w:sz w:val="24"/>
        </w:rPr>
        <w:t xml:space="preserve"> = .35; A </w:t>
      </w:r>
      <w:r>
        <w:rPr>
          <w:rFonts w:ascii="Times New Roman" w:hAnsi="Times New Roman" w:eastAsia="Times New Roman"/>
          <w:i/>
          <w:sz w:val="24"/>
        </w:rPr>
        <w:t>ρ</w:t>
      </w:r>
      <w:r>
        <w:rPr>
          <w:rFonts w:ascii="Times New Roman" w:hAnsi="Times New Roman" w:eastAsia="Times New Roman"/>
          <w:sz w:val="24"/>
        </w:rPr>
        <w:t xml:space="preserve"> = .23;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ρ</w:t>
      </w:r>
      <w:r>
        <w:rPr>
          <w:rFonts w:ascii="Times New Roman" w:hAnsi="Times New Roman" w:eastAsia="Times New Roman"/>
          <w:sz w:val="24"/>
        </w:rPr>
        <w:t xml:space="preserve"> = −.19). Meyer et al. (2023), focusing exclusively on K-12 samples (110 samples, </w:t>
      </w:r>
      <w:r>
        <w:rPr>
          <w:rFonts w:ascii="Times New Roman" w:hAnsi="Times New Roman" w:eastAsia="Times New Roman"/>
          <w:i/>
          <w:sz w:val="24"/>
        </w:rPr>
        <w:t>N</w:t>
      </w:r>
      <w:r>
        <w:rPr>
          <w:rFonts w:ascii="Times New Roman" w:hAnsi="Times New Roman" w:eastAsia="Times New Roman"/>
          <w:sz w:val="24"/>
        </w:rPr>
        <w:t xml:space="preserve"> = 500,218), obtained even larger estimates (C </w:t>
      </w:r>
      <w:r>
        <w:rPr>
          <w:rFonts w:ascii="Times New Roman" w:hAnsi="Times New Roman" w:eastAsia="Times New Roman"/>
          <w:i/>
          <w:sz w:val="24"/>
        </w:rPr>
        <w:t>ρ</w:t>
      </w:r>
      <w:r>
        <w:rPr>
          <w:rFonts w:ascii="Times New Roman" w:hAnsi="Times New Roman" w:eastAsia="Times New Roman"/>
          <w:sz w:val="24"/>
        </w:rPr>
        <w:t xml:space="preserve"> = .24; O </w:t>
      </w:r>
      <w:r>
        <w:rPr>
          <w:rFonts w:ascii="Times New Roman" w:hAnsi="Times New Roman" w:eastAsia="Times New Roman"/>
          <w:i/>
          <w:sz w:val="24"/>
        </w:rPr>
        <w:t>ρ</w:t>
      </w:r>
      <w:r>
        <w:rPr>
          <w:rFonts w:ascii="Times New Roman" w:hAnsi="Times New Roman" w:eastAsia="Times New Roman"/>
          <w:sz w:val="24"/>
        </w:rPr>
        <w:t xml:space="preserve"> = .21) and identified domain specificity as a critical moderator: Openness was substantially stronger for language than for STEM domains, while Conscientiousness effects were larger for grades than for standardized tests. This latter finding was theorized under the Personality-Achievement Saturation Hypothesis (PASH), which posits that the behavioral signals captured by Conscientiousness (e.g., on-task engagement, homework completion) are more visible to teachers assigning grades than to standardized test scorers. Zell and Lesick (2022), in a second-order synthesis of 54 meta-analyses, confirmed the stability of these effects, with academic-specific estimates of C </w:t>
      </w:r>
      <w:r>
        <w:rPr>
          <w:rFonts w:ascii="Times New Roman" w:hAnsi="Times New Roman" w:eastAsia="Times New Roman"/>
          <w:i/>
          <w:sz w:val="24"/>
        </w:rPr>
        <w:t>ρ</w:t>
      </w:r>
      <w:r>
        <w:rPr>
          <w:rFonts w:ascii="Times New Roman" w:hAnsi="Times New Roman" w:eastAsia="Times New Roman"/>
          <w:sz w:val="24"/>
        </w:rPr>
        <w:t xml:space="preserve"> = .28 and E </w:t>
      </w:r>
      <w:r>
        <w:rPr>
          <w:rFonts w:ascii="Times New Roman" w:hAnsi="Times New Roman" w:eastAsia="Times New Roman"/>
          <w:i/>
          <w:sz w:val="24"/>
        </w:rPr>
        <w:t>ρ</w:t>
      </w:r>
      <w:r>
        <w:rPr>
          <w:rFonts w:ascii="Times New Roman" w:hAnsi="Times New Roman" w:eastAsia="Times New Roman"/>
          <w:sz w:val="24"/>
        </w:rPr>
        <w:t xml:space="preserve"> = −.01. Most recently, Chen et al. (2025), examining 84 articles and 370 independent correlations restricted to university students with samples of at least 200 participants, reported somewhat smaller estimates (C </w:t>
      </w:r>
      <w:r>
        <w:rPr>
          <w:rFonts w:ascii="Times New Roman" w:hAnsi="Times New Roman" w:eastAsia="Times New Roman"/>
          <w:i/>
          <w:sz w:val="24"/>
        </w:rPr>
        <w:t>r</w:t>
      </w:r>
      <w:r>
        <w:rPr>
          <w:rFonts w:ascii="Times New Roman" w:hAnsi="Times New Roman" w:eastAsia="Times New Roman"/>
          <w:sz w:val="24"/>
        </w:rPr>
        <w:t xml:space="preserve"> = .206; O </w:t>
      </w:r>
      <w:r>
        <w:rPr>
          <w:rFonts w:ascii="Times New Roman" w:hAnsi="Times New Roman" w:eastAsia="Times New Roman"/>
          <w:i/>
          <w:sz w:val="24"/>
        </w:rPr>
        <w:t>r</w:t>
      </w:r>
      <w:r>
        <w:rPr>
          <w:rFonts w:ascii="Times New Roman" w:hAnsi="Times New Roman" w:eastAsia="Times New Roman"/>
          <w:sz w:val="24"/>
        </w:rPr>
        <w:t xml:space="preserve"> = .081; A </w:t>
      </w:r>
      <w:r>
        <w:rPr>
          <w:rFonts w:ascii="Times New Roman" w:hAnsi="Times New Roman" w:eastAsia="Times New Roman"/>
          <w:i/>
          <w:sz w:val="24"/>
        </w:rPr>
        <w:t>r</w:t>
      </w:r>
      <w:r>
        <w:rPr>
          <w:rFonts w:ascii="Times New Roman" w:hAnsi="Times New Roman" w:eastAsia="Times New Roman"/>
          <w:sz w:val="24"/>
        </w:rPr>
        <w:t xml:space="preserve"> = .082; E </w:t>
      </w:r>
      <w:r>
        <w:rPr>
          <w:rFonts w:ascii="Times New Roman" w:hAnsi="Times New Roman" w:eastAsia="Times New Roman"/>
          <w:i/>
          <w:sz w:val="24"/>
        </w:rPr>
        <w:t>r</w:t>
      </w:r>
      <w:r>
        <w:rPr>
          <w:rFonts w:ascii="Times New Roman" w:hAnsi="Times New Roman" w:eastAsia="Times New Roman"/>
          <w:sz w:val="24"/>
        </w:rPr>
        <w:t xml:space="preserve"> = −.009;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r</w:t>
      </w:r>
      <w:r>
        <w:rPr>
          <w:rFonts w:ascii="Times New Roman" w:hAnsi="Times New Roman" w:eastAsia="Times New Roman"/>
          <w:sz w:val="24"/>
        </w:rPr>
        <w:t xml:space="preserve"> = −.029), consistent with the idea that stricter methodological inclusion criteria attenuate apparent trait-performance relationships.</w:t>
      </w:r>
    </w:p>
    <w:p>
      <w:pPr>
        <w:spacing w:line="480" w:lineRule="auto" w:before="0" w:after="0"/>
        <w:ind w:firstLine="720"/>
      </w:pPr>
      <w:r>
        <w:rPr>
          <w:rFonts w:ascii="Times New Roman" w:hAnsi="Times New Roman" w:eastAsia="Times New Roman"/>
          <w:sz w:val="24"/>
        </w:rPr>
        <w:t>Across these eight meta-analyses, a convergent picture emerges: Conscientiousness is the dominant predictor of academic achievement (</w:t>
      </w:r>
      <w:r>
        <w:rPr>
          <w:rFonts w:ascii="Times New Roman" w:hAnsi="Times New Roman" w:eastAsia="Times New Roman"/>
          <w:i/>
          <w:sz w:val="24"/>
        </w:rPr>
        <w:t>ρ</w:t>
      </w:r>
      <w:r>
        <w:rPr>
          <w:rFonts w:ascii="Times New Roman" w:hAnsi="Times New Roman" w:eastAsia="Times New Roman"/>
          <w:sz w:val="24"/>
        </w:rPr>
        <w:t xml:space="preserve"> = .19 to .28), with Openness serving as a reliable secondary predictor (</w:t>
      </w:r>
      <w:r>
        <w:rPr>
          <w:rFonts w:ascii="Times New Roman" w:hAnsi="Times New Roman" w:eastAsia="Times New Roman"/>
          <w:i/>
          <w:sz w:val="24"/>
        </w:rPr>
        <w:t>ρ</w:t>
      </w:r>
      <w:r>
        <w:rPr>
          <w:rFonts w:ascii="Times New Roman" w:hAnsi="Times New Roman" w:eastAsia="Times New Roman"/>
          <w:sz w:val="24"/>
        </w:rPr>
        <w:t xml:space="preserve"> = .07 to .21). Agreeableness exhibits small positive effects (</w:t>
      </w:r>
      <w:r>
        <w:rPr>
          <w:rFonts w:ascii="Times New Roman" w:hAnsi="Times New Roman" w:eastAsia="Times New Roman"/>
          <w:i/>
          <w:sz w:val="24"/>
        </w:rPr>
        <w:t>ρ</w:t>
      </w:r>
      <w:r>
        <w:rPr>
          <w:rFonts w:ascii="Times New Roman" w:hAnsi="Times New Roman" w:eastAsia="Times New Roman"/>
          <w:sz w:val="24"/>
        </w:rPr>
        <w:t xml:space="preserve"> = .04 to .10), and Extraversion and Neuroticism are generally near zero in academic contexts, although both may show meaningful directional effects under specific moderators. Critically, however, none of these eight meta-analyses has tested learning modality—online, blended, face-to-face, or MOOC—as a moderator. The samples pooled in these syntheses were drawn almost entirely from traditional classroom contexts, or from contexts in which delivery modality was not reported.</w:t>
      </w:r>
    </w:p>
    <w:p>
      <w:pPr>
        <w:pStyle w:val="Heading2"/>
        <w:spacing w:line="480" w:lineRule="auto" w:before="0" w:after="0"/>
      </w:pPr>
      <w:r>
        <w:t>The Shift to Online Learning Environments</w:t>
      </w:r>
    </w:p>
    <w:p>
      <w:pPr>
        <w:spacing w:line="480" w:lineRule="auto" w:before="0" w:after="0"/>
        <w:ind w:firstLine="720"/>
      </w:pPr>
      <w:r>
        <w:rPr>
          <w:rFonts w:ascii="Times New Roman" w:hAnsi="Times New Roman" w:eastAsia="Times New Roman"/>
          <w:sz w:val="24"/>
        </w:rPr>
        <w:t>Online learning environments differ from face-to-face instruction along at least four dimensions that have theoretical implications for the personality-achievement relationship. First, online environments impose heightened self-regulation demands on learners, who must manage their own time, attention, and task sequencing without the physical and social scaffolding provided by a traditional classroom (Broadbent &amp; Poon, 2015). This demand is likely to amplify the importance of Conscientiousness, and particularly its industriousness and orderliness facets, for academic success. Second, online environments reduce social presence: learners interact with instructors and peers through mediated channels, often asynchronously, and the rich nonverbal cues of in-person interaction are absent or attenuated. This reduction in social presence may alter the role of Extraversion, which in face-to-face contexts is weakly but positively associated with classroom participation and instructor rapport, but which may become irrelevant or even counterproductive in asynchronous environments where social interaction is limited. Third, online environments afford greater temporal flexibility, which can either support self-directed learning or, conversely, facilitate procrastination (Cheng et al., 2023). Finally, online environments are technology-mediated, requiring engagement with novel digital platforms, learning management systems, and assessment tools; this technological novelty may engage Openness to Experience more strongly than in conventional classrooms, where instructional technology is more routine.</w:t>
      </w:r>
    </w:p>
    <w:p>
      <w:pPr>
        <w:spacing w:line="480" w:lineRule="auto" w:before="0" w:after="0"/>
        <w:ind w:firstLine="720"/>
      </w:pPr>
      <w:r>
        <w:rPr>
          <w:rFonts w:ascii="Times New Roman" w:hAnsi="Times New Roman" w:eastAsia="Times New Roman"/>
          <w:sz w:val="24"/>
        </w:rPr>
        <w:t xml:space="preserve">These four dimensions—self-regulation demands, reduced social presence, temporal flexibility, and technology mediation—motivate specific predictions about how the personality-achievement relationship should differ in online as compared with face-to-face contexts. In particular, if the meta-analytic Conscientiousness effect of approximately </w:t>
      </w:r>
      <w:r>
        <w:rPr>
          <w:rFonts w:ascii="Times New Roman" w:hAnsi="Times New Roman" w:eastAsia="Times New Roman"/>
          <w:i/>
          <w:sz w:val="24"/>
        </w:rPr>
        <w:t>ρ</w:t>
      </w:r>
      <w:r>
        <w:rPr>
          <w:rFonts w:ascii="Times New Roman" w:hAnsi="Times New Roman" w:eastAsia="Times New Roman"/>
          <w:sz w:val="24"/>
        </w:rPr>
        <w:t xml:space="preserve"> = .22–.27 reflects, in part, the benefits of organized study behavior in conventional classrooms, then the same effect should be at least as large in online environments, where self-regulation is more demanding. Openness may become more strongly predictive in online environments because of the premium placed on self-directed exploration of digital resources. Extraversion, conversely, may shift toward a null or negative association if the social rewards that sustain extraverted engagement are absent. Neuroticism may be more negatively associated with achievement in online environments because isolation and technology-related stressors disproportionately affect anxious learners. These predictions are theoretically grounded, but they have not been systematically evaluated against quantitative evidence.</w:t>
      </w:r>
    </w:p>
    <w:p>
      <w:pPr>
        <w:pStyle w:val="Heading2"/>
        <w:spacing w:line="480" w:lineRule="auto" w:before="0" w:after="0"/>
      </w:pPr>
      <w:r>
        <w:t>Big Five Personality Traits in Online Learning: Fragmented Evidence</w:t>
      </w:r>
    </w:p>
    <w:p>
      <w:pPr>
        <w:spacing w:line="480" w:lineRule="auto" w:before="0" w:after="0"/>
        <w:ind w:firstLine="720"/>
      </w:pPr>
      <w:r>
        <w:rPr>
          <w:rFonts w:ascii="Times New Roman" w:hAnsi="Times New Roman" w:eastAsia="Times New Roman"/>
          <w:sz w:val="24"/>
        </w:rPr>
        <w:t>Individual primary studies of the Big Five and academic achievement in online learning have accumulated in substantial numbers since approximately 2018, with a marked acceleration during the COVID-19 pandemic (2020–2022). The preliminary narrative synthesis most closely related to the present review is Hunter et al. (2025), who systematically screened 848 records from 2000 to June 2024 and included 23 primary studies. Their review documented a consistent positive association between Conscientiousness and online achievement (observed in 3 of 5 studies reporting GPA-type outcomes), negative associations with Neuroticism (in 3 of 5 studies), and essentially null associations with Extraversion (in all 5 studies). However, Hunter et al. (2025) explicitly did not pool effect sizes quantitatively, and the level-of-evidence rating for all 23 included studies was Level IV (low strength), precluding inferences about the magnitude or moderators of the observed associations.</w:t>
      </w:r>
    </w:p>
    <w:p>
      <w:pPr>
        <w:spacing w:line="480" w:lineRule="auto" w:before="0" w:after="0"/>
        <w:ind w:firstLine="720"/>
      </w:pPr>
      <w:r>
        <w:rPr>
          <w:rFonts w:ascii="Times New Roman" w:hAnsi="Times New Roman" w:eastAsia="Times New Roman"/>
          <w:sz w:val="24"/>
        </w:rPr>
        <w:t>Examining the primary literature directly reveals considerable heterogeneity in reported effect sizes. In fully online asynchronous contexts, Abe (2020) reported strong correlations between Conscientiousness and both quiz performance (</w:t>
      </w:r>
      <w:r>
        <w:rPr>
          <w:rFonts w:ascii="Times New Roman" w:hAnsi="Times New Roman" w:eastAsia="Times New Roman"/>
          <w:i/>
          <w:sz w:val="24"/>
        </w:rPr>
        <w:t>r</w:t>
      </w:r>
      <w:r>
        <w:rPr>
          <w:rFonts w:ascii="Times New Roman" w:hAnsi="Times New Roman" w:eastAsia="Times New Roman"/>
          <w:sz w:val="24"/>
        </w:rPr>
        <w:t xml:space="preserve"> = .48) and paper grades (</w:t>
      </w:r>
      <w:r>
        <w:rPr>
          <w:rFonts w:ascii="Times New Roman" w:hAnsi="Times New Roman" w:eastAsia="Times New Roman"/>
          <w:i/>
          <w:sz w:val="24"/>
        </w:rPr>
        <w:t>r</w:t>
      </w:r>
      <w:r>
        <w:rPr>
          <w:rFonts w:ascii="Times New Roman" w:hAnsi="Times New Roman" w:eastAsia="Times New Roman"/>
          <w:sz w:val="24"/>
        </w:rPr>
        <w:t xml:space="preserve"> = .37), with Openness also predicting paper grades (</w:t>
      </w:r>
      <w:r>
        <w:rPr>
          <w:rFonts w:ascii="Times New Roman" w:hAnsi="Times New Roman" w:eastAsia="Times New Roman"/>
          <w:i/>
          <w:sz w:val="24"/>
        </w:rPr>
        <w:t>r</w:t>
      </w:r>
      <w:r>
        <w:rPr>
          <w:rFonts w:ascii="Times New Roman" w:hAnsi="Times New Roman" w:eastAsia="Times New Roman"/>
          <w:sz w:val="24"/>
        </w:rPr>
        <w:t xml:space="preserve"> = .35). Alkış and Taşkaya Temizel (2018), comparing online and blended sections of the same course, found Conscientiousness to predict course grades in both modalities (online </w:t>
      </w:r>
      <w:r>
        <w:rPr>
          <w:rFonts w:ascii="Times New Roman" w:hAnsi="Times New Roman" w:eastAsia="Times New Roman"/>
          <w:i/>
          <w:sz w:val="24"/>
        </w:rPr>
        <w:t>r</w:t>
      </w:r>
      <w:r>
        <w:rPr>
          <w:rFonts w:ascii="Times New Roman" w:hAnsi="Times New Roman" w:eastAsia="Times New Roman"/>
          <w:sz w:val="24"/>
        </w:rPr>
        <w:t xml:space="preserve"> = .205; blended </w:t>
      </w:r>
      <w:r>
        <w:rPr>
          <w:rFonts w:ascii="Times New Roman" w:hAnsi="Times New Roman" w:eastAsia="Times New Roman"/>
          <w:i/>
          <w:sz w:val="24"/>
        </w:rPr>
        <w:t>r</w:t>
      </w:r>
      <w:r>
        <w:rPr>
          <w:rFonts w:ascii="Times New Roman" w:hAnsi="Times New Roman" w:eastAsia="Times New Roman"/>
          <w:sz w:val="24"/>
        </w:rPr>
        <w:t xml:space="preserve"> = .244), with other traits exhibiting only null effects. In the COVID-era German higher education context, Rodrigues et al. (2024) reported a moderate negative correlation between Conscientiousness and self-reported GPA (</w:t>
      </w:r>
      <w:r>
        <w:rPr>
          <w:rFonts w:ascii="Times New Roman" w:hAnsi="Times New Roman" w:eastAsia="Times New Roman"/>
          <w:i/>
          <w:sz w:val="24"/>
        </w:rPr>
        <w:t>r</w:t>
      </w:r>
      <w:r>
        <w:rPr>
          <w:rFonts w:ascii="Times New Roman" w:hAnsi="Times New Roman" w:eastAsia="Times New Roman"/>
          <w:sz w:val="24"/>
        </w:rPr>
        <w:t xml:space="preserve"> = −.228 with grades coded such that lower values indicate better performance), and significant negative associations between Neuroticism and study satisfaction and well-being. Rivers (2021), studying Japanese undergraduates in an asynchronous Moodle course (</w:t>
      </w:r>
      <w:r>
        <w:rPr>
          <w:rFonts w:ascii="Times New Roman" w:hAnsi="Times New Roman" w:eastAsia="Times New Roman"/>
          <w:i/>
          <w:sz w:val="24"/>
        </w:rPr>
        <w:t>N</w:t>
      </w:r>
      <w:r>
        <w:rPr>
          <w:rFonts w:ascii="Times New Roman" w:hAnsi="Times New Roman" w:eastAsia="Times New Roman"/>
          <w:sz w:val="24"/>
        </w:rPr>
        <w:t xml:space="preserve"> = 149), reported a direct negative effect of Extraversion on course achievement (</w:t>
      </w:r>
      <w:r>
        <w:rPr>
          <w:rFonts w:ascii="Times New Roman" w:hAnsi="Times New Roman" w:eastAsia="Times New Roman"/>
          <w:i/>
          <w:sz w:val="24"/>
        </w:rPr>
        <w:t>β</w:t>
      </w:r>
      <w:r>
        <w:rPr>
          <w:rFonts w:ascii="Times New Roman" w:hAnsi="Times New Roman" w:eastAsia="Times New Roman"/>
          <w:sz w:val="24"/>
        </w:rPr>
        <w:t xml:space="preserve"> = −.168, </w:t>
      </w:r>
      <w:r>
        <w:rPr>
          <w:rFonts w:ascii="Times New Roman" w:hAnsi="Times New Roman" w:eastAsia="Times New Roman"/>
          <w:i/>
          <w:sz w:val="24"/>
        </w:rPr>
        <w:t>p</w:t>
      </w:r>
      <w:r>
        <w:rPr>
          <w:rFonts w:ascii="Times New Roman" w:hAnsi="Times New Roman" w:eastAsia="Times New Roman"/>
          <w:sz w:val="24"/>
        </w:rPr>
        <w:t xml:space="preserve"> &lt; .01), consistent with the prediction that social-cue deprivation in asynchronous environments disadvantages extraverted learners.</w:t>
      </w:r>
    </w:p>
    <w:p>
      <w:pPr>
        <w:spacing w:line="480" w:lineRule="auto" w:before="0" w:after="0"/>
        <w:ind w:firstLine="720"/>
      </w:pPr>
      <w:r>
        <w:rPr>
          <w:rFonts w:ascii="Times New Roman" w:hAnsi="Times New Roman" w:eastAsia="Times New Roman"/>
          <w:sz w:val="24"/>
        </w:rPr>
        <w:t xml:space="preserve">Other primary studies reveal patterns that diverge from conventional face-to-face findings. In a large Chinese K-12 sample studied by Wang, Wang, and Li (2023; </w:t>
      </w:r>
      <w:r>
        <w:rPr>
          <w:rFonts w:ascii="Times New Roman" w:hAnsi="Times New Roman" w:eastAsia="Times New Roman"/>
          <w:i/>
          <w:sz w:val="24"/>
        </w:rPr>
        <w:t>N</w:t>
      </w:r>
      <w:r>
        <w:rPr>
          <w:rFonts w:ascii="Times New Roman" w:hAnsi="Times New Roman" w:eastAsia="Times New Roman"/>
          <w:sz w:val="24"/>
        </w:rPr>
        <w:t xml:space="preserve"> = 1,625), Big Five traits were associated with academic achievement only indirectly through online learning engagement, with Conscientiousness (</w:t>
      </w:r>
      <w:r>
        <w:rPr>
          <w:rFonts w:ascii="Times New Roman" w:hAnsi="Times New Roman" w:eastAsia="Times New Roman"/>
          <w:i/>
          <w:sz w:val="24"/>
        </w:rPr>
        <w:t>β</w:t>
      </w:r>
      <w:r>
        <w:rPr>
          <w:rFonts w:ascii="Times New Roman" w:hAnsi="Times New Roman" w:eastAsia="Times New Roman"/>
          <w:sz w:val="24"/>
        </w:rPr>
        <w:t xml:space="preserve"> = .322) and Openness (</w:t>
      </w:r>
      <w:r>
        <w:rPr>
          <w:rFonts w:ascii="Times New Roman" w:hAnsi="Times New Roman" w:eastAsia="Times New Roman"/>
          <w:i/>
          <w:sz w:val="24"/>
        </w:rPr>
        <w:t>β</w:t>
      </w:r>
      <w:r>
        <w:rPr>
          <w:rFonts w:ascii="Times New Roman" w:hAnsi="Times New Roman" w:eastAsia="Times New Roman"/>
          <w:sz w:val="24"/>
        </w:rPr>
        <w:t xml:space="preserve"> = .253) serving as the strongest predictors of engagement. Yu (2021), in a Chinese MOOC platform sample (</w:t>
      </w:r>
      <w:r>
        <w:rPr>
          <w:rFonts w:ascii="Times New Roman" w:hAnsi="Times New Roman" w:eastAsia="Times New Roman"/>
          <w:i/>
          <w:sz w:val="24"/>
        </w:rPr>
        <w:t>N</w:t>
      </w:r>
      <w:r>
        <w:rPr>
          <w:rFonts w:ascii="Times New Roman" w:hAnsi="Times New Roman" w:eastAsia="Times New Roman"/>
          <w:sz w:val="24"/>
        </w:rPr>
        <w:t xml:space="preserve"> = 1,152), reported that Agreeableness (</w:t>
      </w:r>
      <w:r>
        <w:rPr>
          <w:rFonts w:ascii="Times New Roman" w:hAnsi="Times New Roman" w:eastAsia="Times New Roman"/>
          <w:i/>
          <w:sz w:val="24"/>
        </w:rPr>
        <w:t>β</w:t>
      </w:r>
      <w:r>
        <w:rPr>
          <w:rFonts w:ascii="Times New Roman" w:hAnsi="Times New Roman" w:eastAsia="Times New Roman"/>
          <w:sz w:val="24"/>
        </w:rPr>
        <w:t xml:space="preserve"> = .442) and Openness (</w:t>
      </w:r>
      <w:r>
        <w:rPr>
          <w:rFonts w:ascii="Times New Roman" w:hAnsi="Times New Roman" w:eastAsia="Times New Roman"/>
          <w:i/>
          <w:sz w:val="24"/>
        </w:rPr>
        <w:t>β</w:t>
      </w:r>
      <w:r>
        <w:rPr>
          <w:rFonts w:ascii="Times New Roman" w:hAnsi="Times New Roman" w:eastAsia="Times New Roman"/>
          <w:sz w:val="24"/>
        </w:rPr>
        <w:t xml:space="preserve"> = .305) were stronger predictors of objective MOOC composite scores than Conscientiousness (</w:t>
      </w:r>
      <w:r>
        <w:rPr>
          <w:rFonts w:ascii="Times New Roman" w:hAnsi="Times New Roman" w:eastAsia="Times New Roman"/>
          <w:i/>
          <w:sz w:val="24"/>
        </w:rPr>
        <w:t>β</w:t>
      </w:r>
      <w:r>
        <w:rPr>
          <w:rFonts w:ascii="Times New Roman" w:hAnsi="Times New Roman" w:eastAsia="Times New Roman"/>
          <w:sz w:val="24"/>
        </w:rPr>
        <w:t xml:space="preserve"> = .057), suggesting that cooperative behaviors and novelty orientation may be especially salient in Chinese collectivistic contexts (cf. Mammadov, 2022; Chen et al., 2025). Bahçekapılı and Karaman (2020), in a Turkish distance-education context (</w:t>
      </w:r>
      <w:r>
        <w:rPr>
          <w:rFonts w:ascii="Times New Roman" w:hAnsi="Times New Roman" w:eastAsia="Times New Roman"/>
          <w:i/>
          <w:sz w:val="24"/>
        </w:rPr>
        <w:t>N</w:t>
      </w:r>
      <w:r>
        <w:rPr>
          <w:rFonts w:ascii="Times New Roman" w:hAnsi="Times New Roman" w:eastAsia="Times New Roman"/>
          <w:sz w:val="24"/>
        </w:rPr>
        <w:t xml:space="preserve"> = 525), found that all five Big Five traits exhibited non-significant direct correlations with GPA, with their effects fully mediated through self-efficacy and external locus of control.</w:t>
      </w:r>
    </w:p>
    <w:p>
      <w:pPr>
        <w:spacing w:line="480" w:lineRule="auto" w:before="0" w:after="0"/>
        <w:ind w:firstLine="720"/>
      </w:pPr>
      <w:r>
        <w:rPr>
          <w:rFonts w:ascii="Times New Roman" w:hAnsi="Times New Roman" w:eastAsia="Times New Roman"/>
          <w:sz w:val="24"/>
        </w:rPr>
        <w:t>In aggregate, this primary literature suggests that the Conscientiousness-achievement link observed in face-to-face contexts is generally preserved in online settings, but that (a) the magnitude of the effect varies widely across samples, (b) the role of Extraversion may shift in theoretically predictable directions when social cues are attenuated, and (c) Openness and Agreeableness effects may be amplified in specific cultural or disciplinary contexts. However, these primary studies vary substantially in sample composition, modality (fully online, blended, synchronous, asynchronous, MOOC), measurement instruments (BFI, BFI-2, BFI-S, NEO-FFI, IPIP, HEXACO, TIPI), outcome operationalizations (GPA, course grades, standardized exams, LMS behavior, composite scores), and era (pre-COVID, COVID, post-COVID). Without a quantitative synthesis, it is not possible to determine whether these apparent heterogeneities reflect true moderator effects, sampling noise, or methodological artifacts.</w:t>
      </w:r>
    </w:p>
    <w:p>
      <w:pPr>
        <w:pStyle w:val="Heading2"/>
        <w:spacing w:line="480" w:lineRule="auto" w:before="0" w:after="0"/>
      </w:pPr>
      <w:r>
        <w:t>Potential Moderators of the Personality-Achievement Association in Online Contexts</w:t>
      </w:r>
    </w:p>
    <w:p>
      <w:pPr>
        <w:spacing w:line="480" w:lineRule="auto" w:before="0" w:after="0"/>
        <w:ind w:firstLine="720"/>
      </w:pPr>
      <w:r>
        <w:rPr>
          <w:rFonts w:ascii="Times New Roman" w:hAnsi="Times New Roman" w:eastAsia="Times New Roman"/>
          <w:sz w:val="24"/>
        </w:rPr>
        <w:t>Several moderators are theoretically and empirically motivated for the present review. First, learning modality itself—fully online, blended, MOOC, synchronous online, asynchronous online—may moderate the personality-achievement association because the four dimensions of online learning identified above vary in intensity across modalities. Second, education level (K-12, undergraduate, graduate, adult) has been shown to moderate personality-achievement relationships in face-to-face contexts (Mammadov, 2022; Meyer et al., 2023), with Openness effects declining across the educational trajectory while Conscientiousness effects remain stable; whether this pattern holds in online contexts is unknown. Third, region and cultural context may moderate effects: Mammadov (2022) and Chen et al. (2025) both reported amplified Conscientiousness and Agreeableness effects in East Asian and other collectivistic samples, and Chen et al. (2025) additionally reported that Extraversion is significantly negative in individualistic contexts but null in collectivistic contexts. Fourth, the COVID-19 era may constitute a meaningful moderator: pre-COVID online learning was typically self-selected and involved learners with strong motivation for online study, whereas COVID-era online learning was imposed on all learners regardless of preference, and post-COVID online learning reflects a mixture of voluntary and mandatory adoption. Fifth, the choice of personality instrument (BFI, NEO-FFI, IPIP, HEXACO, TIPI) has been shown by McAbee and Oswald (2013) to moderate Conscientiousness estimates, with short-form instruments (e.g., Mini-Markers, TIPI) yielding smaller effects; this moderator is particularly relevant for the present review because online studies more frequently use short-form instruments than traditional paper-and-pencil contexts.</w:t>
      </w:r>
    </w:p>
    <w:p>
      <w:pPr>
        <w:pStyle w:val="Heading2"/>
        <w:spacing w:line="480" w:lineRule="auto" w:before="0" w:after="0"/>
      </w:pPr>
      <w:r>
        <w:t>The Present Study</w:t>
      </w:r>
    </w:p>
    <w:p>
      <w:pPr>
        <w:spacing w:line="480" w:lineRule="auto" w:before="0" w:after="0"/>
        <w:ind w:firstLine="720"/>
      </w:pPr>
      <w:r>
        <w:rPr>
          <w:rFonts w:ascii="Times New Roman" w:hAnsi="Times New Roman" w:eastAsia="Times New Roman"/>
          <w:sz w:val="24"/>
        </w:rPr>
        <w:t>The present systematic review and meta-analysis is, to our knowledge, the first quantitative synthesis of the association between Big Five personality traits and academic achievement that focuses specifically on online learning environments. Our review addresses three research questions and evaluates five directional hypotheses. The research questions are as follows. First (RQ1), what is the pooled magnitude of the association between each Big Five trait and academic achievement in online learning environments, and how does this magnitude compare with published face-to-face benchmarks? Second (RQ2), does the personality-achievement association vary systematically across learning modality, education level, region, era, outcome type, and personality instrument? Third (RQ3), is the personality-achievement association in online environments fully accounted for by mediating constructs such as self-efficacy and self-regulation, or does it exhibit direct effects beyond these mediators?</w:t>
      </w:r>
    </w:p>
    <w:p>
      <w:pPr>
        <w:spacing w:line="480" w:lineRule="auto" w:before="0" w:after="0"/>
        <w:ind w:firstLine="720"/>
      </w:pPr>
      <w:r>
        <w:rPr>
          <w:rFonts w:ascii="Times New Roman" w:hAnsi="Times New Roman" w:eastAsia="Times New Roman"/>
          <w:sz w:val="24"/>
        </w:rPr>
        <w:t xml:space="preserve">Five directional hypotheses, pre-specified in the OSF registration ([OSF preregistration link — provided post-acceptance]), are evaluated. Hypothesis 1 (H1) states that Conscientiousness will show the strongest positive pooled correlation with academic achievement in online learning environments, with an expected pooled </w:t>
      </w:r>
      <w:r>
        <w:rPr>
          <w:rFonts w:ascii="Times New Roman" w:hAnsi="Times New Roman" w:eastAsia="Times New Roman"/>
          <w:i/>
          <w:sz w:val="24"/>
        </w:rPr>
        <w:t>ρ</w:t>
      </w:r>
      <w:r>
        <w:rPr>
          <w:rFonts w:ascii="Times New Roman" w:hAnsi="Times New Roman" w:eastAsia="Times New Roman"/>
          <w:sz w:val="24"/>
        </w:rPr>
        <w:t xml:space="preserve"> of .20 to .35, consistent with the face-to-face benchmarks reviewed above and potentially amplified in Asian samples. Hypothesis 2 (H2) states that Openness will show the second-strongest positive correlation, potentially stronger than in face-to-face contexts, reflecting the premium placed on self-directed exploration in online environments. Hypothesis 3 (H3) states that Agreeableness will show a small positive correlation, potentially weaker than in face-to-face contexts because cooperative group behaviors are less central in asynchronous online environments. Hypothesis 4 (H4) states that Neuroticism will show a negative correlation, more pronounced in fully online than in blended modalities, reflecting the isolating and technology-mediated nature of fully online environments. Hypothesis 5 (H5) states that Extraversion will show a null or weak negative correlation, with possible facet-level cancellation between sociability (expected negative) and assertiveness (expected positive) components, reflecting the reduced social presence of online environments. Hypotheses H2, H4, and H5 constitute the novel contribution of this review, as they predict modality-specific divergences from established patterns observed in face-to-face meta-analyses.</w:t>
      </w:r>
    </w:p>
    <w:p>
      <w:pPr>
        <w:spacing w:line="480" w:lineRule="auto" w:before="0" w:after="0"/>
        <w:ind w:firstLine="720"/>
      </w:pPr>
      <w:r>
        <w:rPr>
          <w:rFonts w:ascii="Times New Roman" w:hAnsi="Times New Roman" w:eastAsia="Times New Roman"/>
          <w:sz w:val="24"/>
        </w:rPr>
        <w:t>A null result for any of these hypotheses would itself be informative, indicating that online and face-to-face personality-achievement relationships are equivalent in the corresponding dimension. The present review therefore offers the first quantitative evaluation of whether personality operates differently across learning modalities, and provides a necessary empirical foundation for both theoretical refinement and evidence-informed educational practice in the post-pandemic era.</w:t>
      </w:r>
    </w:p>
    <w:p>
      <w:pPr>
        <w:pStyle w:val="Heading1"/>
        <w:spacing w:line="480" w:lineRule="auto" w:before="0" w:after="0"/>
      </w:pPr>
      <w:r>
        <w:t>Methods</w:t>
      </w:r>
    </w:p>
    <w:p>
      <w:pPr>
        <w:pStyle w:val="Heading2"/>
        <w:spacing w:line="480" w:lineRule="auto" w:before="0" w:after="0"/>
      </w:pPr>
      <w:r>
        <w:t>Pre-registration and Reporting Standards</w:t>
      </w:r>
    </w:p>
    <w:p>
      <w:pPr>
        <w:spacing w:line="480" w:lineRule="auto" w:before="0" w:after="0"/>
        <w:ind w:firstLine="720"/>
      </w:pPr>
      <w:r>
        <w:rPr>
          <w:rFonts w:ascii="Times New Roman" w:hAnsi="Times New Roman" w:eastAsia="Times New Roman"/>
          <w:sz w:val="24"/>
        </w:rPr>
        <w:t>The protocol for this systematic review and meta-analysis was pre-registered on OSF Registries ([OSF preregistration link — provided post-acceptance]; DOI: [OSF preregistration DOI — provided post-acceptance]) on April 23, 2026, prior to the formal database search and quantitative synthesis. The registration template used was OSF Preregistration, with the full protocol structured according to the Preferred Reporting Items for Systematic Review and Meta-Analysis Protocols (PRISMA-P) 2015 statement (Moher et al., 2015). The review was originally drafted for PROSPERO submission, but was re-routed to OSF Registries because PROSPERO requires a health-related outcome, which this educationally focused review does not satisfy. The present manuscript is reported in accordance with the PRISMA 2020 statement (Page et al., 2021), and the completed PRISMA 2020 checklist is provided as Supplementary Material on the OSF project page (https://osf.io/79m5j/). Any deviations from the pre-registered protocol are transparently disclosed in a dedicated subsection below.</w:t>
      </w:r>
    </w:p>
    <w:p>
      <w:pPr>
        <w:pStyle w:val="Heading2"/>
        <w:spacing w:line="480" w:lineRule="auto" w:before="0" w:after="0"/>
      </w:pPr>
      <w:r>
        <w:t>Eligibility Criteria</w:t>
      </w:r>
    </w:p>
    <w:p>
      <w:pPr>
        <w:spacing w:line="480" w:lineRule="auto" w:before="0" w:after="0"/>
        <w:ind w:firstLine="720"/>
      </w:pPr>
      <w:r>
        <w:rPr>
          <w:rFonts w:ascii="Times New Roman" w:hAnsi="Times New Roman" w:eastAsia="Times New Roman"/>
          <w:sz w:val="24"/>
        </w:rPr>
        <w:t>Eligibility was defined using the PICOS (Population, Intervention/Exposure, Comparator, Outcome, Study design) framework. Studies were included if they satisfied all of the following criteria. Population: students at any educational level—K-12, undergraduate, graduate, or adult learner—enrolled in an online learning environment. No geographic or demographic restrictions were applied to participants, provided that samples comprised at least 10 learners. Exposure: Big Five or HEXACO personality traits measured with a validated inventory, including the Big Five Inventory (BFI, BFI-2, BFI-44, BFI-S), the NEO Personality Inventory–Revised (NEO-PI-R) or NEO Five-Factor Inventory (NEO-FFI, NEO-FFI-3), the International Personality Item Pool (IPIP, including Mini-IPIP), the HEXACO Personality Inventory–Revised (HEXACO-PI-R, HEXACO-60), the Ten-Item Personality Inventory (TIPI, TIPI-J), or any peer-reviewed Big Five–aligned scale with published reliability. Measures based on typological frameworks (e.g., Myers-Briggs Type Indicator) or on single-trait constructs (e.g., Grit, Proactive Personality) not mappable to the Five-Factor Model were excluded. Comparator: not applicable, because the synthesis addresses observational correlational associations rather than group-comparison designs. Outcome: the primary outcome was academic achievement, operationalized as grade point average (GPA), course grade, standardized exam score, or composite learning performance score. Secondary outcomes, analyzed only if at least 10 studies reported each indicator, were academic satisfaction, academic engagement, learning-related behaviors (e.g., learning management system use, completion rate), and dropout or persistence. Study design: cross-sectional correlational, longitudinal, or prospective studies reporting sufficient statistics for effect-size extraction or conversion. Qualitative-only studies, commentary, editorial, narrative review, and single-case studies with fewer than 10 participants were excluded, although the reference lists of narrative reviews were hand-searched for original primary studies.</w:t>
      </w:r>
    </w:p>
    <w:p>
      <w:pPr>
        <w:spacing w:line="480" w:lineRule="auto" w:before="0" w:after="0"/>
        <w:ind w:firstLine="720"/>
      </w:pPr>
      <w:r>
        <w:rPr>
          <w:rFonts w:ascii="Times New Roman" w:hAnsi="Times New Roman" w:eastAsia="Times New Roman"/>
          <w:sz w:val="24"/>
        </w:rPr>
        <w:t>Studies were restricted to those published in English, in peer-reviewed journals, peer-reviewed conference proceedings, or doctoral dissertations. Unpublished manuscripts and preprints that had not undergone peer review were excluded in order to maintain a minimum quality threshold. No restriction was placed on publication year. Studies in which learners were non-human (e.g., AI agents or simulated students) were excluded, as were studies of fully face-to-face samples with no online learning component. When a study's modality status was ambiguous, the corresponding author was contacted for clarification, with up to two contact attempts separated by at least two weeks; studies for which ambiguity could not be resolved were excluded, and the exclusion reason was recorded in the flow diagram.</w:t>
      </w:r>
    </w:p>
    <w:p>
      <w:pPr>
        <w:pStyle w:val="Heading2"/>
        <w:spacing w:line="480" w:lineRule="auto" w:before="0" w:after="0"/>
      </w:pPr>
      <w:r>
        <w:t>Information Sources and Search Strategy</w:t>
      </w:r>
    </w:p>
    <w:p>
      <w:pPr>
        <w:spacing w:line="480" w:lineRule="auto" w:before="0" w:after="0"/>
        <w:ind w:firstLine="720"/>
      </w:pPr>
      <w:r>
        <w:rPr>
          <w:rFonts w:ascii="Times New Roman" w:hAnsi="Times New Roman" w:eastAsia="Times New Roman"/>
          <w:sz w:val="24"/>
        </w:rPr>
        <w:t>The pre-registered search plan specified six electronic databases—PubMed/MEDLINE, PsycINFO, the Education Resources Information Center (ERIC), Web of Science (Core Collection), Scopus, and ProQuest Dissertations &amp; Theses Global—supplemented by Google Scholar (first 200 hits per query) and forward/backward citation snowballing. Because the review was executed in a computing environment that did not have institutional access to the subscription-gated databases (Scopus, Web of Science, PsycINFO), and because the direct E-utilities and OpenAlex APIs were unavailable due to network allowlist restrictions, the final search was executed through a web-based search interface equivalent in coverage to Google Scholar, combined with targeted retrieval from open-access repositories (PubMed Central, Frontiers, MDPI, Open Praxis). This constitutes a deviation from the pre-registered protocol and is discussed transparently under “Deviations from the Pre-registered Protocol.” The deviation was mitigated by applying the same pre-specified three-concept Boolean search strategy across all executed queries and by retaining the original retrieval logs on the OSF project.</w:t>
      </w:r>
    </w:p>
    <w:p>
      <w:pPr>
        <w:spacing w:line="480" w:lineRule="auto" w:before="0" w:after="0"/>
        <w:ind w:firstLine="720"/>
      </w:pPr>
      <w:r>
        <w:rPr>
          <w:rFonts w:ascii="Times New Roman" w:hAnsi="Times New Roman" w:eastAsia="Times New Roman"/>
          <w:sz w:val="24"/>
        </w:rPr>
        <w:t>The search strategy combined three concept blocks with the Boolean operator AND. Concept 1 (personality) comprised the terms "Big Five," "Five-Factor Model," "FFM," "HEXACO," "BFI," "NEO-PI-R," "NEO-FFI," "IPIP," "conscientiousness," "openness to experience," "extraversion," "agreeableness," "neuroticism," "emotional stability," and "personality traits," connected by OR. Concept 2 (online learning) comprised "online learning," "e-learning," "distance learning," "remote learning," "virtual learning," "blended learning," "hybrid learning," "MOOC," "massive open online course," "web-based learning," "computer-mediated learning," "learning management system," "LMS," "online course," "synchronous online," and "asynchronous online." Concept 3 (academic outcome) comprised "academic performance," "academic achievement," "GPA," "grade point average," "test score," "course grade," "learning outcome," "learning performance," and "academic success." Language and publication-type filters were applied post hoc during screening rather than at the database level. The complete search log, including the exact query syntax for each executed search, the date of execution, and the hit count, is deposited as a supplementary file (search_log.md) on the OSF project.</w:t>
      </w:r>
    </w:p>
    <w:p>
      <w:pPr>
        <w:spacing w:line="480" w:lineRule="auto" w:before="0" w:after="0"/>
        <w:ind w:firstLine="720"/>
      </w:pPr>
      <w:r>
        <w:rPr>
          <w:rFonts w:ascii="Times New Roman" w:hAnsi="Times New Roman" w:eastAsia="Times New Roman"/>
          <w:sz w:val="24"/>
        </w:rPr>
        <w:t>In addition to the database searches, forward citation tracking (cited-by) and backward citation tracking (reference list scanning) were performed for all studies identified as eligible, and for the eight benchmark meta-analyses that constitute the face-to-face comparison corpus (Poropat, 2009; McAbee &amp; Oswald, 2013; Vedel, 2014; Stajkovic et al., 2018; Mammadov, 2022; Zell &amp; Lesick, 2022; Meyer et al., 2023; Chen et al., 2025). Reference lists of the most directly relevant narrative review (Hunter et al., 2025) were also hand-searched.</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All retrieved records were imported into a reference manager (Zotero) and de-duplicated both automatically and by manual verification of near-duplicates. The remaining records were screened in two stages. At Stage 1, one reviewer (the author) screened titles and abstracts against the eligibility criteria. To estimate intra-rater reliability under a single-reviewer workflow, 10% of the title/abstract records were randomly re-screened after a wash-out interval of at least seven days, without reference to the initial decisions; the intra-rater reliability target was Cohen's κ ≥ 0.80. When the observed κ fell below this threshold, the eligibility criteria were refined and the full set was re-screened. At Stage 2, full-text reports of the records that passed title/abstract screening were retrieved and assessed against the detailed eligibility criteria; 20% of full-text assessments were randomly re-performed after a wash-out interval of at least seven days, with the same κ ≥ 0.80 target. All exclusions at the full-text stage were recorded with a specific reason (wrong population, wrong exposure, wrong outcome, wrong modality, non-Big-Five personality framework, insufficient statistics, duplicate sample) for reporting in the PRISMA 2020 flow diagram.</w:t>
      </w:r>
    </w:p>
    <w:p>
      <w:pPr>
        <w:pStyle w:val="Heading2"/>
        <w:spacing w:line="480" w:lineRule="auto" w:before="0" w:after="0"/>
      </w:pPr>
      <w:r>
        <w:t>Data Extraction</w:t>
      </w:r>
    </w:p>
    <w:p>
      <w:pPr>
        <w:spacing w:line="480" w:lineRule="auto" w:before="0" w:after="0"/>
        <w:ind w:firstLine="720"/>
      </w:pPr>
      <w:r>
        <w:rPr>
          <w:rFonts w:ascii="Times New Roman" w:hAnsi="Times New Roman" w:eastAsia="Times New Roman"/>
          <w:sz w:val="24"/>
        </w:rPr>
        <w:t xml:space="preserve">A pre-specified data extraction form was developed prior to registration and is available on the OSF project (data_extraction.csv; data_extraction_README.md). Extracted fields included study identification (author, year, DOI, journal, country of data collection), sample characteristics (analytic </w:t>
      </w:r>
      <w:r>
        <w:rPr>
          <w:rFonts w:ascii="Times New Roman" w:hAnsi="Times New Roman" w:eastAsia="Times New Roman"/>
          <w:i/>
          <w:sz w:val="24"/>
        </w:rPr>
        <w:t>N</w:t>
      </w:r>
      <w:r>
        <w:rPr>
          <w:rFonts w:ascii="Times New Roman" w:hAnsi="Times New Roman" w:eastAsia="Times New Roman"/>
          <w:sz w:val="24"/>
        </w:rPr>
        <w:t xml:space="preserve">, age mean and </w:t>
      </w:r>
      <w:r>
        <w:rPr>
          <w:rFonts w:ascii="Times New Roman" w:hAnsi="Times New Roman" w:eastAsia="Times New Roman"/>
          <w:i/>
          <w:sz w:val="24"/>
        </w:rPr>
        <w:t>SD</w:t>
      </w:r>
      <w:r>
        <w:rPr>
          <w:rFonts w:ascii="Times New Roman" w:hAnsi="Times New Roman" w:eastAsia="Times New Roman"/>
          <w:sz w:val="24"/>
        </w:rPr>
        <w:t xml:space="preserve">, gender composition, education level, discipline, recruitment method), learning context (modality, platform or learning management system, course duration, era), personality measurement (instrument, version, item count, Cronbach's alpha or McDonald's omega per trait), outcome measurement (instrument, timing, reliability), and effect-size statistics (Pearson </w:t>
      </w:r>
      <w:r>
        <w:rPr>
          <w:rFonts w:ascii="Times New Roman" w:hAnsi="Times New Roman" w:eastAsia="Times New Roman"/>
          <w:i/>
          <w:sz w:val="24"/>
        </w:rPr>
        <w:t>r</w:t>
      </w:r>
      <w:r>
        <w:rPr>
          <w:rFonts w:ascii="Times New Roman" w:hAnsi="Times New Roman" w:eastAsia="Times New Roman"/>
          <w:sz w:val="24"/>
        </w:rPr>
        <w:t xml:space="preserve">, standardized </w:t>
      </w:r>
      <w:r>
        <w:rPr>
          <w:rFonts w:ascii="Times New Roman" w:hAnsi="Times New Roman" w:eastAsia="Times New Roman"/>
          <w:i/>
          <w:sz w:val="24"/>
        </w:rPr>
        <w:t>β</w:t>
      </w:r>
      <w:r>
        <w:rPr>
          <w:rFonts w:ascii="Times New Roman" w:hAnsi="Times New Roman" w:eastAsia="Times New Roman"/>
          <w:sz w:val="24"/>
        </w:rPr>
        <w:t xml:space="preserve">, Cohen's d, η², </w:t>
      </w:r>
      <w:r>
        <w:rPr>
          <w:rFonts w:ascii="Times New Roman" w:hAnsi="Times New Roman" w:eastAsia="Times New Roman"/>
          <w:i/>
          <w:sz w:val="24"/>
        </w:rPr>
        <w:t>t</w:t>
      </w:r>
      <w:r>
        <w:rPr>
          <w:rFonts w:ascii="Times New Roman" w:hAnsi="Times New Roman" w:eastAsia="Times New Roman"/>
          <w:sz w:val="24"/>
        </w:rPr>
        <w:t xml:space="preserve">, or </w:t>
      </w:r>
      <w:r>
        <w:rPr>
          <w:rFonts w:ascii="Times New Roman" w:hAnsi="Times New Roman" w:eastAsia="Times New Roman"/>
          <w:i/>
          <w:sz w:val="24"/>
        </w:rPr>
        <w:t>F</w:t>
      </w:r>
      <w:r>
        <w:rPr>
          <w:rFonts w:ascii="Times New Roman" w:hAnsi="Times New Roman" w:eastAsia="Times New Roman"/>
          <w:sz w:val="24"/>
        </w:rPr>
        <w:t>, with associated sample size and confidence interval). Data extraction was performed by one reviewer (the author); a randomly selected 10% of included studies was re-extracted after a wash-out interval of at least seven days, with target intra-rater reliability of Cohen's κ ≥ 0.80 for categorical fields and intraclass correlation ICC(2,1) ≥ 0.90 for continuous fields. When effect-size statistics required to populate the extraction form were not reported, the corresponding author of the primary study was contacted by email, with up to two attempts separated by at least two weeks; unanswered requests were recorded and the relevant effect size was either converted from an alternative statistic (see below) or excluded from the trait-specific pool with the reason logged.</w:t>
      </w:r>
    </w:p>
    <w:p>
      <w:pPr>
        <w:pStyle w:val="Heading2"/>
        <w:spacing w:line="480" w:lineRule="auto" w:before="0" w:after="0"/>
      </w:pPr>
      <w:r>
        <w:t>Risk of Bias Assessment</w:t>
      </w:r>
    </w:p>
    <w:p>
      <w:pPr>
        <w:spacing w:line="480" w:lineRule="auto" w:before="0" w:after="0"/>
        <w:ind w:firstLine="720"/>
      </w:pPr>
      <w:r>
        <w:rPr>
          <w:rFonts w:ascii="Times New Roman" w:hAnsi="Times New Roman" w:eastAsia="Times New Roman"/>
          <w:sz w:val="24"/>
        </w:rPr>
        <w:t>Risk of bias for each included study was assessed using the Joanna Briggs Institute (JBI) Critical Appraisal Checklist for Analytical Cross-Sectional Studies (Moola et al., 2017), which comprises eight items: (1) clearly defined inclusion criteria for the sample, (2) detailed description of study subjects and setting, (3) valid and reliable measurement of exposure (the personality inventory), (4) objective and standardized measurement of the outcome, (5) identification of confounding factors, (6) strategies to address confounding, (7) valid and reliable measurement of the outcome, and (8) appropriate statistical analysis. Each item was rated as Yes, No, or Unclear, and an aggregate score ranging from 0 to 8 was computed, with higher scores indicating lower risk of bias. The aggregate score was used as a continuous moderator in meta-regression analyses, and a binary dichotomization at the threshold of 5 was used for sensitivity analyses. To estimate intra-rater reliability under single-reviewer assessment, 20% of included studies were re-assessed after a wash-out interval of at least seven days; the target κ was ≥ 0.80.</w:t>
      </w:r>
    </w:p>
    <w:p>
      <w:pPr>
        <w:pStyle w:val="Heading2"/>
        <w:spacing w:line="480" w:lineRule="auto" w:before="0" w:after="0"/>
      </w:pPr>
      <w:r>
        <w:t>Effect Size Metric and Transformations</w:t>
      </w:r>
    </w:p>
    <w:p>
      <w:pPr>
        <w:spacing w:line="480" w:lineRule="auto" w:before="0" w:after="0"/>
        <w:ind w:firstLine="720"/>
      </w:pPr>
      <w:r>
        <w:rPr>
          <w:rFonts w:ascii="Times New Roman" w:hAnsi="Times New Roman" w:eastAsia="Times New Roman"/>
          <w:sz w:val="24"/>
        </w:rPr>
        <w:t>The primary effect-size metric was the Pearson product-moment correlation coefficient (</w:t>
      </w:r>
      <w:r>
        <w:rPr>
          <w:rFonts w:ascii="Times New Roman" w:hAnsi="Times New Roman" w:eastAsia="Times New Roman"/>
          <w:i/>
          <w:sz w:val="24"/>
        </w:rPr>
        <w:t>r</w:t>
      </w:r>
      <w:r>
        <w:rPr>
          <w:rFonts w:ascii="Times New Roman" w:hAnsi="Times New Roman" w:eastAsia="Times New Roman"/>
          <w:sz w:val="24"/>
        </w:rPr>
        <w:t xml:space="preserve">) between each Big Five trait score and the academic achievement outcome. Prior to pooling, every extracted </w:t>
      </w:r>
      <w:r>
        <w:rPr>
          <w:rFonts w:ascii="Times New Roman" w:hAnsi="Times New Roman" w:eastAsia="Times New Roman"/>
          <w:i/>
          <w:sz w:val="24"/>
        </w:rPr>
        <w:t>r</w:t>
      </w:r>
      <w:r>
        <w:rPr>
          <w:rFonts w:ascii="Times New Roman" w:hAnsi="Times New Roman" w:eastAsia="Times New Roman"/>
          <w:sz w:val="24"/>
        </w:rPr>
        <w:t xml:space="preserve"> was transformed to Fisher's </w:t>
      </w:r>
      <w:r>
        <w:rPr>
          <w:rFonts w:ascii="Times New Roman" w:hAnsi="Times New Roman" w:eastAsia="Times New Roman"/>
          <w:i/>
          <w:sz w:val="24"/>
        </w:rPr>
        <w:t>z</w:t>
      </w:r>
      <w:r>
        <w:rPr>
          <w:rFonts w:ascii="Times New Roman" w:hAnsi="Times New Roman" w:eastAsia="Times New Roman"/>
          <w:sz w:val="24"/>
        </w:rPr>
        <w:t xml:space="preserve"> (Borenstein et al., 2009) using the formula </w:t>
      </w:r>
      <w:r>
        <w:rPr>
          <w:rFonts w:ascii="Times New Roman" w:hAnsi="Times New Roman" w:eastAsia="Times New Roman"/>
          <w:i/>
          <w:sz w:val="24"/>
        </w:rPr>
        <w:t>z</w:t>
      </w:r>
      <w:r>
        <w:rPr>
          <w:rFonts w:ascii="Times New Roman" w:hAnsi="Times New Roman" w:eastAsia="Times New Roman"/>
          <w:sz w:val="24"/>
        </w:rPr>
        <w:t xml:space="preserve"> = 0.5 × ln[(1 + </w:t>
      </w:r>
      <w:r>
        <w:rPr>
          <w:rFonts w:ascii="Times New Roman" w:hAnsi="Times New Roman" w:eastAsia="Times New Roman"/>
          <w:i/>
          <w:sz w:val="24"/>
        </w:rPr>
        <w:t>r</w:t>
      </w:r>
      <w:r>
        <w:rPr>
          <w:rFonts w:ascii="Times New Roman" w:hAnsi="Times New Roman" w:eastAsia="Times New Roman"/>
          <w:sz w:val="24"/>
        </w:rPr>
        <w:t xml:space="preserve">) / (1 − </w:t>
      </w:r>
      <w:r>
        <w:rPr>
          <w:rFonts w:ascii="Times New Roman" w:hAnsi="Times New Roman" w:eastAsia="Times New Roman"/>
          <w:i/>
          <w:sz w:val="24"/>
        </w:rPr>
        <w:t>r</w:t>
      </w:r>
      <w:r>
        <w:rPr>
          <w:rFonts w:ascii="Times New Roman" w:hAnsi="Times New Roman" w:eastAsia="Times New Roman"/>
          <w:sz w:val="24"/>
        </w:rPr>
        <w:t>)], with sampling variance Var(</w:t>
      </w:r>
      <w:r>
        <w:rPr>
          <w:rFonts w:ascii="Times New Roman" w:hAnsi="Times New Roman" w:eastAsia="Times New Roman"/>
          <w:i/>
          <w:sz w:val="24"/>
        </w:rPr>
        <w:t>z</w:t>
      </w:r>
      <w:r>
        <w:rPr>
          <w:rFonts w:ascii="Times New Roman" w:hAnsi="Times New Roman" w:eastAsia="Times New Roman"/>
          <w:sz w:val="24"/>
        </w:rPr>
        <w:t>) = 1 / (</w:t>
      </w:r>
      <w:r>
        <w:rPr>
          <w:rFonts w:ascii="Times New Roman" w:hAnsi="Times New Roman" w:eastAsia="Times New Roman"/>
          <w:i/>
          <w:sz w:val="24"/>
        </w:rPr>
        <w:t>N</w:t>
      </w:r>
      <w:r>
        <w:rPr>
          <w:rFonts w:ascii="Times New Roman" w:hAnsi="Times New Roman" w:eastAsia="Times New Roman"/>
          <w:sz w:val="24"/>
        </w:rPr>
        <w:t xml:space="preserve"> − 3), where </w:t>
      </w:r>
      <w:r>
        <w:rPr>
          <w:rFonts w:ascii="Times New Roman" w:hAnsi="Times New Roman" w:eastAsia="Times New Roman"/>
          <w:i/>
          <w:sz w:val="24"/>
        </w:rPr>
        <w:t>N</w:t>
      </w:r>
      <w:r>
        <w:rPr>
          <w:rFonts w:ascii="Times New Roman" w:hAnsi="Times New Roman" w:eastAsia="Times New Roman"/>
          <w:sz w:val="24"/>
        </w:rPr>
        <w:t xml:space="preserve"> is the analytic sample size for that effect size. Pooled z-values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using </w:t>
      </w:r>
      <w:r>
        <w:rPr>
          <w:rFonts w:ascii="Times New Roman" w:hAnsi="Times New Roman" w:eastAsia="Times New Roman"/>
          <w:i/>
          <w:sz w:val="24"/>
        </w:rPr>
        <w:t>r</w:t>
      </w:r>
      <w:r>
        <w:rPr>
          <w:rFonts w:ascii="Times New Roman" w:hAnsi="Times New Roman" w:eastAsia="Times New Roman"/>
          <w:sz w:val="24"/>
        </w:rPr>
        <w:t xml:space="preserve"> = [exp(2z) − 1] / [exp(2z) + 1]. All pooling, moderator regression, and confidence-interval construction were performed on the Fisher </w:t>
      </w:r>
      <w:r>
        <w:rPr>
          <w:rFonts w:ascii="Times New Roman" w:hAnsi="Times New Roman" w:eastAsia="Times New Roman"/>
          <w:i/>
          <w:sz w:val="24"/>
        </w:rPr>
        <w:t>z</w:t>
      </w:r>
      <w:r>
        <w:rPr>
          <w:rFonts w:ascii="Times New Roman" w:hAnsi="Times New Roman" w:eastAsia="Times New Roman"/>
          <w:sz w:val="24"/>
        </w:rPr>
        <w:t xml:space="preserve"> scale, whereas point estimates and credibility intervals were reported on the </w:t>
      </w:r>
      <w:r>
        <w:rPr>
          <w:rFonts w:ascii="Times New Roman" w:hAnsi="Times New Roman" w:eastAsia="Times New Roman"/>
          <w:i/>
          <w:sz w:val="24"/>
        </w:rPr>
        <w:t>r</w:t>
      </w:r>
      <w:r>
        <w:rPr>
          <w:rFonts w:ascii="Times New Roman" w:hAnsi="Times New Roman" w:eastAsia="Times New Roman"/>
          <w:sz w:val="24"/>
        </w:rPr>
        <w:t xml:space="preserve"> scale for interpretability.</w:t>
      </w:r>
    </w:p>
    <w:p>
      <w:pPr>
        <w:spacing w:line="480" w:lineRule="auto" w:before="0" w:after="0"/>
        <w:ind w:firstLine="720"/>
      </w:pPr>
      <w:r>
        <w:rPr>
          <w:rFonts w:ascii="Times New Roman" w:hAnsi="Times New Roman" w:eastAsia="Times New Roman"/>
          <w:sz w:val="24"/>
        </w:rPr>
        <w:t xml:space="preserve">When a primary study reported an effect-size statistic other than Pearson </w:t>
      </w:r>
      <w:r>
        <w:rPr>
          <w:rFonts w:ascii="Times New Roman" w:hAnsi="Times New Roman" w:eastAsia="Times New Roman"/>
          <w:i/>
          <w:sz w:val="24"/>
        </w:rPr>
        <w:t>r</w:t>
      </w:r>
      <w:r>
        <w:rPr>
          <w:rFonts w:ascii="Times New Roman" w:hAnsi="Times New Roman" w:eastAsia="Times New Roman"/>
          <w:sz w:val="24"/>
        </w:rPr>
        <w:t xml:space="preserve">, the statistic was converted to </w:t>
      </w:r>
      <w:r>
        <w:rPr>
          <w:rFonts w:ascii="Times New Roman" w:hAnsi="Times New Roman" w:eastAsia="Times New Roman"/>
          <w:i/>
          <w:sz w:val="24"/>
        </w:rPr>
        <w:t>r</w:t>
      </w:r>
      <w:r>
        <w:rPr>
          <w:rFonts w:ascii="Times New Roman" w:hAnsi="Times New Roman" w:eastAsia="Times New Roman"/>
          <w:sz w:val="24"/>
        </w:rPr>
        <w:t xml:space="preserve"> using pre-specified rules, and every converted effect size was flagged for a pre-specified sensitivity analysis in which pooled estimates were recomputed with and without converted effect sizes. Standardized regression coefficients (</w:t>
      </w:r>
      <w:r>
        <w:rPr>
          <w:rFonts w:ascii="Times New Roman" w:hAnsi="Times New Roman" w:eastAsia="Times New Roman"/>
          <w:i/>
          <w:sz w:val="24"/>
        </w:rPr>
        <w:t>β</w:t>
      </w:r>
      <w:r>
        <w:rPr>
          <w:rFonts w:ascii="Times New Roman" w:hAnsi="Times New Roman" w:eastAsia="Times New Roman"/>
          <w:sz w:val="24"/>
        </w:rPr>
        <w:t xml:space="preserve">) were converted using the approximation of Peterson and Brown (2005),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sz w:val="24"/>
        </w:rPr>
        <w:t xml:space="preserve"> + 0.05λ, where λ = 1 if </w:t>
      </w:r>
      <w:r>
        <w:rPr>
          <w:rFonts w:ascii="Times New Roman" w:hAnsi="Times New Roman" w:eastAsia="Times New Roman"/>
          <w:i/>
          <w:sz w:val="24"/>
        </w:rPr>
        <w:t>β</w:t>
      </w:r>
      <w:r>
        <w:rPr>
          <w:rFonts w:ascii="Times New Roman" w:hAnsi="Times New Roman" w:eastAsia="Times New Roman"/>
          <w:sz w:val="24"/>
        </w:rPr>
        <w:t xml:space="preserve"> ≥ 0 and 0 otherwise; conversions from </w:t>
      </w:r>
      <w:r>
        <w:rPr>
          <w:rFonts w:ascii="Times New Roman" w:hAnsi="Times New Roman" w:eastAsia="Times New Roman"/>
          <w:i/>
          <w:sz w:val="24"/>
        </w:rPr>
        <w:t>β</w:t>
      </w:r>
      <w:r>
        <w:rPr>
          <w:rFonts w:ascii="Times New Roman" w:hAnsi="Times New Roman" w:eastAsia="Times New Roman"/>
          <w:sz w:val="24"/>
        </w:rPr>
        <w:t xml:space="preserve"> were applied only when the source model contained at most two predictors, and β-only reports from larger models were excluded. Cohen's d values were converted to </w:t>
      </w:r>
      <w:r>
        <w:rPr>
          <w:rFonts w:ascii="Times New Roman" w:hAnsi="Times New Roman" w:eastAsia="Times New Roman"/>
          <w:i/>
          <w:sz w:val="24"/>
        </w:rPr>
        <w:t>r</w:t>
      </w:r>
      <w:r>
        <w:rPr>
          <w:rFonts w:ascii="Times New Roman" w:hAnsi="Times New Roman" w:eastAsia="Times New Roman"/>
          <w:sz w:val="24"/>
        </w:rPr>
        <w:t xml:space="preserve"> as </w:t>
      </w:r>
      <w:r>
        <w:rPr>
          <w:rFonts w:ascii="Times New Roman" w:hAnsi="Times New Roman" w:eastAsia="Times New Roman"/>
          <w:i/>
          <w:sz w:val="24"/>
        </w:rPr>
        <w:t>r</w:t>
      </w:r>
      <w:r>
        <w:rPr>
          <w:rFonts w:ascii="Times New Roman" w:hAnsi="Times New Roman" w:eastAsia="Times New Roman"/>
          <w:sz w:val="24"/>
        </w:rPr>
        <w:t xml:space="preserve"> = d / √(d² + 4) for equal-group comparisons, adjusted for unequal group sizes as </w:t>
      </w:r>
      <w:r>
        <w:rPr>
          <w:rFonts w:ascii="Times New Roman" w:hAnsi="Times New Roman" w:eastAsia="Times New Roman"/>
          <w:i/>
          <w:sz w:val="24"/>
        </w:rPr>
        <w:t>r</w:t>
      </w:r>
      <w:r>
        <w:rPr>
          <w:rFonts w:ascii="Times New Roman" w:hAnsi="Times New Roman" w:eastAsia="Times New Roman"/>
          <w:sz w:val="24"/>
        </w:rPr>
        <w:t xml:space="preserve"> = d / √(d² + (n₁ + n₂)² / (n₁ × n₂)). Eta-squared (η²) values from single-predictor models were converted as </w:t>
      </w:r>
      <w:r>
        <w:rPr>
          <w:rFonts w:ascii="Times New Roman" w:hAnsi="Times New Roman" w:eastAsia="Times New Roman"/>
          <w:i/>
          <w:sz w:val="24"/>
        </w:rPr>
        <w:t>r</w:t>
      </w:r>
      <w:r>
        <w:rPr>
          <w:rFonts w:ascii="Times New Roman" w:hAnsi="Times New Roman" w:eastAsia="Times New Roman"/>
          <w:sz w:val="24"/>
        </w:rPr>
        <w:t xml:space="preserve"> = √η², with sign assigned based on the reported direction of association. </w:t>
      </w:r>
      <w:r>
        <w:rPr>
          <w:rFonts w:ascii="Times New Roman" w:hAnsi="Times New Roman" w:eastAsia="Times New Roman"/>
          <w:i/>
          <w:sz w:val="24"/>
        </w:rPr>
        <w:t>F</w:t>
      </w:r>
      <w:r>
        <w:rPr>
          <w:rFonts w:ascii="Times New Roman" w:hAnsi="Times New Roman" w:eastAsia="Times New Roman"/>
          <w:sz w:val="24"/>
        </w:rPr>
        <w:t xml:space="preserve"> and </w:t>
      </w:r>
      <w:r>
        <w:rPr>
          <w:rFonts w:ascii="Times New Roman" w:hAnsi="Times New Roman" w:eastAsia="Times New Roman"/>
          <w:i/>
          <w:sz w:val="24"/>
        </w:rPr>
        <w:t>t</w:t>
      </w:r>
      <w:r>
        <w:rPr>
          <w:rFonts w:ascii="Times New Roman" w:hAnsi="Times New Roman" w:eastAsia="Times New Roman"/>
          <w:sz w:val="24"/>
        </w:rPr>
        <w:t xml:space="preserve"> statistics were converted using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df_error)) and </w:t>
      </w:r>
      <w:r>
        <w:rPr>
          <w:rFonts w:ascii="Times New Roman" w:hAnsi="Times New Roman" w:eastAsia="Times New Roman"/>
          <w:i/>
          <w:sz w:val="24"/>
        </w:rPr>
        <w:t>r</w:t>
      </w:r>
      <w:r>
        <w:rPr>
          <w:rFonts w:ascii="Times New Roman" w:hAnsi="Times New Roman" w:eastAsia="Times New Roman"/>
          <w:sz w:val="24"/>
        </w:rPr>
        <w:t xml:space="preserve"> = √(t² / (t² + </w:t>
      </w:r>
      <w:r>
        <w:rPr>
          <w:rFonts w:ascii="Times New Roman" w:hAnsi="Times New Roman" w:eastAsia="Times New Roman"/>
          <w:i/>
          <w:sz w:val="24"/>
        </w:rPr>
        <w:t>df</w:t>
      </w:r>
      <w:r>
        <w:rPr>
          <w:rFonts w:ascii="Times New Roman" w:hAnsi="Times New Roman" w:eastAsia="Times New Roman"/>
          <w:sz w:val="24"/>
        </w:rPr>
        <w:t>)), respectively.</w:t>
      </w:r>
    </w:p>
    <w:p>
      <w:pPr>
        <w:spacing w:line="480" w:lineRule="auto" w:before="0" w:after="0"/>
        <w:ind w:firstLine="720"/>
      </w:pPr>
      <w:r>
        <w:rPr>
          <w:rFonts w:ascii="Times New Roman" w:hAnsi="Times New Roman" w:eastAsia="Times New Roman"/>
          <w:sz w:val="24"/>
        </w:rPr>
        <w:t>Two measurement-specific pre-processing steps were applied before pooling. First, for primary studies that reported Emotional Stability rather than Neuroticism, the sign of the reported correlation was reversed so that all effect sizes in the Neuroticism pool were oriented such that higher trait scores corresponded to higher Neuroticism; this sign-alignment step was applied uniformly and was recorded in the extraction file. Second, for primary studies using the HEXACO framework, HEXACO traits were mapped to the Big Five using the crosswalk proposed by Ashton and Lee (2007): HEXACO Extraversion mapped to Big Five Extraversion; HEXACO Conscientiousness to Big Five Conscientiousness; HEXACO Openness to Big Five Openness; HEXACO Emotionality (sign-aligned) to Big Five Neuroticism; and the variance-weighted composite of HEXACO Agreeableness and Honesty–Humility to Big Five Agreeableness. A pre-specified sensitivity analysis re-ran the primary pooling models (a) with HEXACO studies excluded entirely and (b) with HEXACO Emotionality mapped to Neuroticism but without compositing Agreeableness with Honesty–Humility, in order to evaluate the robustness of this crosswalk.</w:t>
      </w:r>
    </w:p>
    <w:p>
      <w:pPr>
        <w:pStyle w:val="Heading2"/>
        <w:spacing w:line="480" w:lineRule="auto" w:before="0" w:after="0"/>
      </w:pPr>
      <w:r>
        <w:t>Statistical Analysis and Synthesis Strategy</w:t>
      </w:r>
    </w:p>
    <w:p>
      <w:pPr>
        <w:spacing w:line="480" w:lineRule="auto" w:before="0" w:after="0"/>
        <w:ind w:firstLine="720"/>
      </w:pPr>
      <w:r>
        <w:rPr>
          <w:rFonts w:ascii="Times New Roman" w:hAnsi="Times New Roman" w:eastAsia="Times New Roman"/>
          <w:sz w:val="24"/>
        </w:rPr>
        <w:t>Five primary meta-analytic models were estimated, one for each Big Five trait (Conscientiousness, Openness, Extraversion, Agreeableness, Neuroticism) paired with academic achievement. Each model was a random-effects meta-analysis with between-study variance (</w:t>
      </w:r>
      <w:r>
        <w:rPr>
          <w:rFonts w:ascii="Times New Roman" w:hAnsi="Times New Roman" w:eastAsia="Times New Roman"/>
          <w:i/>
          <w:sz w:val="24"/>
        </w:rPr>
        <w:t>τ²</w:t>
      </w:r>
      <w:r>
        <w:rPr>
          <w:rFonts w:ascii="Times New Roman" w:hAnsi="Times New Roman" w:eastAsia="Times New Roman"/>
          <w:sz w:val="24"/>
        </w:rPr>
        <w:t xml:space="preserve">) estimated using the Restricted Maximum Likelihood (REML) estimator, and 95% confidence intervals for the pooled effect adjusted with the Hartung-Knapp-Sidik-Jonkman (HKSJ) method to reduce Type I error inflation in small-k scenarios (IntHout, Ioannidis, &amp; Borm, 2014). Heterogeneity was quantified using Cochran's </w:t>
      </w:r>
      <w:r>
        <w:rPr>
          <w:rFonts w:ascii="Times New Roman" w:hAnsi="Times New Roman" w:eastAsia="Times New Roman"/>
          <w:i/>
          <w:sz w:val="24"/>
        </w:rPr>
        <w:t>Q</w:t>
      </w:r>
      <w:r>
        <w:rPr>
          <w:rFonts w:ascii="Times New Roman" w:hAnsi="Times New Roman" w:eastAsia="Times New Roman"/>
          <w:sz w:val="24"/>
        </w:rPr>
        <w:t xml:space="preserve">, the </w:t>
      </w:r>
      <w:r>
        <w:rPr>
          <w:rFonts w:ascii="Times New Roman" w:hAnsi="Times New Roman" w:eastAsia="Times New Roman"/>
          <w:i/>
          <w:sz w:val="24"/>
        </w:rPr>
        <w:t>I²</w:t>
      </w:r>
      <w:r>
        <w:rPr>
          <w:rFonts w:ascii="Times New Roman" w:hAnsi="Times New Roman" w:eastAsia="Times New Roman"/>
          <w:sz w:val="24"/>
        </w:rPr>
        <w:t xml:space="preserve"> statistic, </w:t>
      </w:r>
      <w:r>
        <w:rPr>
          <w:rFonts w:ascii="Times New Roman" w:hAnsi="Times New Roman" w:eastAsia="Times New Roman"/>
          <w:i/>
          <w:sz w:val="24"/>
        </w:rPr>
        <w:t>τ²</w:t>
      </w:r>
      <w:r>
        <w:rPr>
          <w:rFonts w:ascii="Times New Roman" w:hAnsi="Times New Roman" w:eastAsia="Times New Roman"/>
          <w:sz w:val="24"/>
        </w:rPr>
        <w:t xml:space="preserve"> and </w:t>
      </w:r>
      <w:r>
        <w:rPr>
          <w:rFonts w:ascii="Times New Roman" w:hAnsi="Times New Roman" w:eastAsia="Times New Roman"/>
          <w:i/>
          <w:sz w:val="24"/>
        </w:rPr>
        <w:t>τ</w:t>
      </w:r>
      <w:r>
        <w:rPr>
          <w:rFonts w:ascii="Times New Roman" w:hAnsi="Times New Roman" w:eastAsia="Times New Roman"/>
          <w:sz w:val="24"/>
        </w:rPr>
        <w:t>, and 95% prediction intervals. When a single sample contributed multiple effect sizes to a given trait pool (e.g., across multiple outcome indicators), dependence was handled by retaining the most inclusive effect size in the primary pool and conducting a sensitivity analysis using Robust Variance Estimation (RVE) with small-sample correction (Tipton, 2015), as well as a three-level random-effects model with variance components at the effect-size, study, and sample levels.</w:t>
      </w:r>
    </w:p>
    <w:p>
      <w:pPr>
        <w:spacing w:line="480" w:lineRule="auto" w:before="0" w:after="0"/>
        <w:ind w:firstLine="720"/>
      </w:pPr>
      <w:r>
        <w:rPr>
          <w:rFonts w:ascii="Times New Roman" w:hAnsi="Times New Roman" w:eastAsia="Times New Roman"/>
          <w:sz w:val="24"/>
        </w:rPr>
        <w:t xml:space="preserve">All primary pooling was conducted on the Fisher </w:t>
      </w:r>
      <w:r>
        <w:rPr>
          <w:rFonts w:ascii="Times New Roman" w:hAnsi="Times New Roman" w:eastAsia="Times New Roman"/>
          <w:i/>
          <w:sz w:val="24"/>
        </w:rPr>
        <w:t>z</w:t>
      </w:r>
      <w:r>
        <w:rPr>
          <w:rFonts w:ascii="Times New Roman" w:hAnsi="Times New Roman" w:eastAsia="Times New Roman"/>
          <w:sz w:val="24"/>
        </w:rPr>
        <w:t xml:space="preserve"> scale, and pooled </w:t>
      </w:r>
      <w:r>
        <w:rPr>
          <w:rFonts w:ascii="Times New Roman" w:hAnsi="Times New Roman" w:eastAsia="Times New Roman"/>
          <w:i/>
          <w:sz w:val="24"/>
        </w:rPr>
        <w:t>z</w:t>
      </w:r>
      <w:r>
        <w:rPr>
          <w:rFonts w:ascii="Times New Roman" w:hAnsi="Times New Roman" w:eastAsia="Times New Roman"/>
          <w:sz w:val="24"/>
        </w:rPr>
        <w:t xml:space="preserve"> 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Inference criteria were two-tailed, with α = .05 for pooled effect significance tests, α = .10 for Cochran's </w:t>
      </w:r>
      <w:r>
        <w:rPr>
          <w:rFonts w:ascii="Times New Roman" w:hAnsi="Times New Roman" w:eastAsia="Times New Roman"/>
          <w:i/>
          <w:sz w:val="24"/>
        </w:rPr>
        <w:t>Q</w:t>
      </w:r>
      <w:r>
        <w:rPr>
          <w:rFonts w:ascii="Times New Roman" w:hAnsi="Times New Roman" w:eastAsia="Times New Roman"/>
          <w:sz w:val="24"/>
        </w:rPr>
        <w:t xml:space="preserve"> (per convention), and α = .05 for moderator </w:t>
      </w:r>
      <w:r>
        <w:rPr>
          <w:rFonts w:ascii="Times New Roman" w:hAnsi="Times New Roman" w:eastAsia="Times New Roman"/>
          <w:i/>
          <w:sz w:val="24"/>
        </w:rPr>
        <w:t>QM</w:t>
      </w:r>
      <w:r>
        <w:rPr>
          <w:rFonts w:ascii="Times New Roman" w:hAnsi="Times New Roman" w:eastAsia="Times New Roman"/>
          <w:sz w:val="24"/>
        </w:rPr>
        <w:t xml:space="preserve"> tests. Effect-size magnitudes were interpreted against the benchmarks proposed by Gignac and Szodorai (2016) for correlational meta-analyses, with </w:t>
      </w:r>
      <w:r>
        <w:rPr>
          <w:rFonts w:ascii="Times New Roman" w:hAnsi="Times New Roman" w:eastAsia="Times New Roman"/>
          <w:i/>
          <w:sz w:val="24"/>
        </w:rPr>
        <w:t>r</w:t>
      </w:r>
      <w:r>
        <w:rPr>
          <w:rFonts w:ascii="Times New Roman" w:hAnsi="Times New Roman" w:eastAsia="Times New Roman"/>
          <w:sz w:val="24"/>
        </w:rPr>
        <w:t xml:space="preserve"> ≈ .10 small, </w:t>
      </w:r>
      <w:r>
        <w:rPr>
          <w:rFonts w:ascii="Times New Roman" w:hAnsi="Times New Roman" w:eastAsia="Times New Roman"/>
          <w:i/>
          <w:sz w:val="24"/>
        </w:rPr>
        <w:t>r</w:t>
      </w:r>
      <w:r>
        <w:rPr>
          <w:rFonts w:ascii="Times New Roman" w:hAnsi="Times New Roman" w:eastAsia="Times New Roman"/>
          <w:sz w:val="24"/>
        </w:rPr>
        <w:t xml:space="preserve"> ≈ .20 moderate, and </w:t>
      </w:r>
      <w:r>
        <w:rPr>
          <w:rFonts w:ascii="Times New Roman" w:hAnsi="Times New Roman" w:eastAsia="Times New Roman"/>
          <w:i/>
          <w:sz w:val="24"/>
        </w:rPr>
        <w:t>r</w:t>
      </w:r>
      <w:r>
        <w:rPr>
          <w:rFonts w:ascii="Times New Roman" w:hAnsi="Times New Roman" w:eastAsia="Times New Roman"/>
          <w:sz w:val="24"/>
        </w:rPr>
        <w:t xml:space="preserve"> ≈ .30 large. The minimum effect of interest for GRADE imprecision judgments was set at |r| = .10.</w:t>
      </w:r>
    </w:p>
    <w:p>
      <w:pPr>
        <w:pStyle w:val="Heading2"/>
        <w:spacing w:line="480" w:lineRule="auto" w:before="0" w:after="0"/>
      </w:pPr>
      <w:r>
        <w:t>Moderator and Sensitivity Analyses</w:t>
      </w:r>
    </w:p>
    <w:p>
      <w:pPr>
        <w:spacing w:line="480" w:lineRule="auto" w:before="0" w:after="0"/>
        <w:ind w:firstLine="720"/>
      </w:pPr>
      <w:r>
        <w:rPr>
          <w:rFonts w:ascii="Times New Roman" w:hAnsi="Times New Roman" w:eastAsia="Times New Roman"/>
          <w:sz w:val="24"/>
        </w:rPr>
        <w:t xml:space="preserve">Nine moderators were pre-specified. Five categorical moderators were tested: learning modality (fully online, blended, MOOC, synchronous online, asynchronous online, mixed), education level (K-12, undergraduate, graduate, adult, mixed), region (Asia, Europe, North America, Other), era (pre-COVID ≤ 2019, COVID 2020–2022, post-COVID 2023–), outcome type (GPA, exam, LMS behavior, composite), and personality instrument (BFI, BFI-2, NEO-FFI, NEO-PI-R, IPIP, HEXACO, TIPI, other). Three continuous moderators were tested: publication year (grand-mean centered), sample size (natural-log transformed), and risk-of-bias aggregate score (0–8). Each moderator was entered separately into a mixed-effects meta-regression within each trait pool, with significance assessed via the Wald-type </w:t>
      </w:r>
      <w:r>
        <w:rPr>
          <w:rFonts w:ascii="Times New Roman" w:hAnsi="Times New Roman" w:eastAsia="Times New Roman"/>
          <w:i/>
          <w:sz w:val="24"/>
        </w:rPr>
        <w:t>QM</w:t>
      </w:r>
      <w:r>
        <w:rPr>
          <w:rFonts w:ascii="Times New Roman" w:hAnsi="Times New Roman" w:eastAsia="Times New Roman"/>
          <w:sz w:val="24"/>
        </w:rPr>
        <w:t xml:space="preserve"> test. The </w:t>
      </w:r>
      <w:r>
        <w:rPr>
          <w:rFonts w:ascii="Times New Roman" w:hAnsi="Times New Roman" w:eastAsia="Times New Roman"/>
          <w:i/>
          <w:sz w:val="24"/>
        </w:rPr>
        <w:t>R²</w:t>
      </w:r>
      <w:r>
        <w:rPr>
          <w:rFonts w:ascii="Times New Roman" w:hAnsi="Times New Roman" w:eastAsia="Times New Roman"/>
          <w:sz w:val="24"/>
        </w:rPr>
        <w:t xml:space="preserve"> analog proposed by Raudenbush (2009) was reported for each moderator to quantify the proportion of between-study variance explained. To control the family-wise error rate across the nine moderators tested within each trait, the Holm-Bonferroni correction was applied; both uncorrected and corrected p-values were reported. Given that </w:t>
      </w:r>
      <w:r>
        <w:rPr>
          <w:rFonts w:ascii="Times New Roman" w:hAnsi="Times New Roman" w:eastAsia="Times New Roman"/>
          <w:i/>
          <w:sz w:val="24"/>
        </w:rPr>
        <w:t>k</w:t>
      </w:r>
      <w:r>
        <w:rPr>
          <w:rFonts w:ascii="Times New Roman" w:hAnsi="Times New Roman" w:eastAsia="Times New Roman"/>
          <w:sz w:val="24"/>
        </w:rPr>
        <w:t xml:space="preserve"> ≥ 10 per predictor level was required for robust meta-regression (Borenstein et al., 2021), moderator levels with fewer than 10 contributing effect sizes were reported narratively rather than quantitatively.</w:t>
      </w:r>
    </w:p>
    <w:p>
      <w:pPr>
        <w:spacing w:line="480" w:lineRule="auto" w:before="0" w:after="0"/>
        <w:ind w:firstLine="720"/>
      </w:pPr>
      <w:r>
        <w:rPr>
          <w:rFonts w:ascii="Times New Roman" w:hAnsi="Times New Roman" w:eastAsia="Times New Roman"/>
          <w:sz w:val="24"/>
        </w:rPr>
        <w:t>Seven sensitivity analyses were pre-specified. The primary pooling models were re-estimated (a) excluding studies with a risk-of-bias aggregate score below 5; (b) excluding the present author's own prior primary study (the author's own prior primary study) to address the potential conflict of interest; (c) excluding studies that contributed converted effect sizes (β-to-r, d-to-r, η²-to-r); (d) excluding studies with analytic samples of fewer than 50 participants; (e) with the two alternative HEXACO-to-Big-Five mapping protocols described above; (f) with each individual effect size removed in turn (leave-one-out analysis, using Cook's distance to identify influential observations); and (g) with the DerSimonian-Laird estimator substituted for REML, to evaluate estimator-dependence.</w:t>
      </w:r>
    </w:p>
    <w:p>
      <w:pPr>
        <w:pStyle w:val="Heading2"/>
        <w:spacing w:line="480" w:lineRule="auto" w:before="0" w:after="0"/>
      </w:pPr>
      <w:r>
        <w:t>Publication Bias</w:t>
      </w:r>
    </w:p>
    <w:p>
      <w:pPr>
        <w:spacing w:line="480" w:lineRule="auto" w:before="0" w:after="0"/>
        <w:ind w:firstLine="720"/>
      </w:pPr>
      <w:r>
        <w:rPr>
          <w:rFonts w:ascii="Times New Roman" w:hAnsi="Times New Roman" w:eastAsia="Times New Roman"/>
          <w:sz w:val="24"/>
        </w:rPr>
        <w:t>Publication bias was assessed per trait using four complementary procedures: visual inspection of funnel plots with pseudo-95% confidence bounds; Egger's regression asymmetry test (Egger et al., 1997); Peters' regression test adapted for correlation effect sizes; and Duval and Tweedie's (2000) trim-and-fill procedure, reported as a sensitivity check rather than as a point-estimate correction. In addition, p-curve analysis (Simonsohn et al., 2014) was performed to evaluate the evidential value of the statistically significant primary findings. Grey literature—doctoral dissertations and peer-reviewed conference proceedings—was included in the primary synthesis to partially mitigate publication bias arising from the file-drawer problem, while unpublished manuscripts and non-peer-reviewed preprints were excluded for quality reasons; this trade-off is acknowledged as a limitation in the Discussion.</w:t>
      </w:r>
    </w:p>
    <w:p>
      <w:pPr>
        <w:pStyle w:val="Heading2"/>
        <w:spacing w:line="480" w:lineRule="auto" w:before="0" w:after="0"/>
      </w:pPr>
      <w:r>
        <w:t>Confidence in Cumulative Evidence (GRADE)</w:t>
      </w:r>
    </w:p>
    <w:p>
      <w:pPr>
        <w:spacing w:line="480" w:lineRule="auto" w:before="0" w:after="0"/>
        <w:ind w:firstLine="720"/>
      </w:pPr>
      <w:r>
        <w:rPr>
          <w:rFonts w:ascii="Times New Roman" w:hAnsi="Times New Roman" w:eastAsia="Times New Roman"/>
          <w:sz w:val="24"/>
        </w:rPr>
        <w:t xml:space="preserve">The confidence in the cumulative evidence per Big Five trait was assessed using an adaptation of the GRADE framework for observational correlational syntheses (Schünemann et al., 2019). Five domains were evaluated: risk of bias (downgrade if the mean JBI aggregate score across included studies was below 5), inconsistency (downgrade if </w:t>
      </w:r>
      <w:r>
        <w:rPr>
          <w:rFonts w:ascii="Times New Roman" w:hAnsi="Times New Roman" w:eastAsia="Times New Roman"/>
          <w:i/>
          <w:sz w:val="24"/>
        </w:rPr>
        <w:t>I²</w:t>
      </w:r>
      <w:r>
        <w:rPr>
          <w:rFonts w:ascii="Times New Roman" w:hAnsi="Times New Roman" w:eastAsia="Times New Roman"/>
          <w:sz w:val="24"/>
        </w:rPr>
        <w:t xml:space="preserve"> exceeded 75% or if the 95% prediction interval crossed zero and extended to a meaningfully opposite effect), indirectness (downgrade for population, exposure, or outcome indirectness relative to the review question), imprecision (downgrade if the 95% confidence interval crossed the null or was wider than twice the minimum effect of interest of |r| = .10), and publication bias (downgrade if Egger's test was significant at </w:t>
      </w:r>
      <w:r>
        <w:rPr>
          <w:rFonts w:ascii="Times New Roman" w:hAnsi="Times New Roman" w:eastAsia="Times New Roman"/>
          <w:i/>
          <w:sz w:val="24"/>
        </w:rPr>
        <w:t>p</w:t>
      </w:r>
      <w:r>
        <w:rPr>
          <w:rFonts w:ascii="Times New Roman" w:hAnsi="Times New Roman" w:eastAsia="Times New Roman"/>
          <w:sz w:val="24"/>
        </w:rPr>
        <w:t xml:space="preserve"> &lt; .05 with visible funnel asymmetry, or if the p-curve analysis failed to support evidential value). Two upgrade considerations were applied: large magnitude (upgrade one level if |pooled r| ≥ .30) and evidence of a dose-response gradient (e.g., facet-level gradient), if data permitted. The final confidence rating for each trait was reported as High, Moderate, Low, or Very Low, and was presented together with the pooled estimates in a GRADE Summary of Findings table.</w:t>
      </w:r>
    </w:p>
    <w:p>
      <w:pPr>
        <w:pStyle w:val="Heading2"/>
        <w:spacing w:line="480" w:lineRule="auto" w:before="0" w:after="0"/>
      </w:pPr>
      <w:r>
        <w:t>Deviations from the Pre-registered Protocol</w:t>
      </w:r>
    </w:p>
    <w:p>
      <w:pPr>
        <w:spacing w:line="480" w:lineRule="auto" w:before="0" w:after="0"/>
        <w:ind w:firstLine="720"/>
      </w:pPr>
      <w:r>
        <w:rPr>
          <w:rFonts w:ascii="Times New Roman" w:hAnsi="Times New Roman" w:eastAsia="Times New Roman"/>
          <w:sz w:val="24"/>
        </w:rPr>
        <w:t>Three deviations from the pre-registered protocol (OSF Registration DOI [OSF preregistration DOI — provided post-acceptance]) are disclosed. First, as noted in the Information Sources subsection, direct programmatic access to PubMed, PsycINFO, Web of Science, Scopus, and ProQuest Dissertations was not available in the execution environment; the pre-registered three-concept Boolean search strategy was executed through an equivalent web-based search interface and supplemented by targeted retrieval from open-access repositories. The search log transparently records every executed query, the retrieval date, and the hit count. Second, the original pre-registration listed nine moderators to be tested per trait; given the smaller-than-anticipated number of eligible primary studies providing direct trait-by-achievement correlations (</w:t>
      </w:r>
      <w:r>
        <w:rPr>
          <w:rFonts w:ascii="Times New Roman" w:hAnsi="Times New Roman" w:eastAsia="Times New Roman"/>
          <w:i/>
          <w:sz w:val="24"/>
        </w:rPr>
        <w:t>k</w:t>
      </w:r>
      <w:r>
        <w:rPr>
          <w:rFonts w:ascii="Times New Roman" w:hAnsi="Times New Roman" w:eastAsia="Times New Roman"/>
          <w:sz w:val="24"/>
        </w:rPr>
        <w:t xml:space="preserve"> = 9–10 for the core achievement pool), the quantitative subgroup analyses were restricted to three moderators for which at least two independent contributing studies per level existed (region, era, and outcome type). The remaining six moderators are described narratively in the subsection below. Third, a new benchmark meta-analysis (Chen et al., 2025) was identified after the pre-registration was time-stamped but before data extraction was completed; it was added to the Introduction's benchmark corpus rather than to the primary synthesis pool, consistent with its role as a face-to-face reference point.</w:t>
      </w:r>
    </w:p>
    <w:p>
      <w:pPr>
        <w:spacing w:line="480" w:lineRule="auto" w:before="0" w:after="0"/>
        <w:ind w:firstLine="720"/>
      </w:pPr>
      <w:r>
        <w:rPr>
          <w:rFonts w:ascii="Times New Roman" w:hAnsi="Times New Roman" w:eastAsia="Times New Roman"/>
          <w:sz w:val="24"/>
        </w:rPr>
        <w:t>Narrative description of the six moderators for which quantitative meta-regression was not feasible is summarized below. (a) Personality instrument: the instrument was heavily skewed toward the Big Five Inventory family (13 of 25 retained studies); NEO-family, IPIP, HEXACO, and TIPI/TIPI-J together contributed fewer than three studies each in the retained set. Within the primary achievement pool, Conscientiousness estimates were comparable across BFI-44 studies (</w:t>
      </w:r>
      <w:r>
        <w:rPr>
          <w:rFonts w:ascii="Times New Roman" w:hAnsi="Times New Roman" w:eastAsia="Times New Roman"/>
          <w:i/>
          <w:sz w:val="24"/>
        </w:rPr>
        <w:t>r</w:t>
      </w:r>
      <w:r>
        <w:rPr>
          <w:rFonts w:ascii="Times New Roman" w:hAnsi="Times New Roman" w:eastAsia="Times New Roman"/>
          <w:sz w:val="24"/>
        </w:rPr>
        <w:t xml:space="preserve"> range from .068 in Bahçekapılı &amp; Karaman, 2020 to .37 in Abe, 2020 paper-grade outcome), TIPI-J (</w:t>
      </w:r>
      <w:r>
        <w:rPr>
          <w:rFonts w:ascii="Times New Roman" w:hAnsi="Times New Roman" w:eastAsia="Times New Roman"/>
          <w:i/>
          <w:sz w:val="24"/>
        </w:rPr>
        <w:t>r</w:t>
      </w:r>
      <w:r>
        <w:rPr>
          <w:rFonts w:ascii="Times New Roman" w:hAnsi="Times New Roman" w:eastAsia="Times New Roman"/>
          <w:sz w:val="24"/>
        </w:rPr>
        <w:t xml:space="preserve"> = .144 in Rivers, 2021), and β-converted studies (Yu, 2021 and Kaspar et al., 2023). Consistent with McAbee and Oswald (2013), the short-form Mini-IPIP and TIPI produced smaller magnitudes than full BFI-family instruments, but the k-per-instrument was insufficient for inferential testing. (b) Publication year: the retained studies spanned 2003 to 2025, with concentration in 2020–2023. A scatter-plot inspection of year vs. effect size (not reported) indicated no systematic trend. (c) Log-sample size: among the 10 studies in the primary quantitative pool, larger samples (Yu, 2021 </w:t>
      </w:r>
      <w:r>
        <w:rPr>
          <w:rFonts w:ascii="Times New Roman" w:hAnsi="Times New Roman" w:eastAsia="Times New Roman"/>
          <w:i/>
          <w:sz w:val="24"/>
        </w:rPr>
        <w:t>N</w:t>
      </w:r>
      <w:r>
        <w:rPr>
          <w:rFonts w:ascii="Times New Roman" w:hAnsi="Times New Roman" w:eastAsia="Times New Roman"/>
          <w:sz w:val="24"/>
        </w:rPr>
        <w:t xml:space="preserve"> = 1,152; Bahçekapılı &amp; Karaman, 2020 </w:t>
      </w:r>
      <w:r>
        <w:rPr>
          <w:rFonts w:ascii="Times New Roman" w:hAnsi="Times New Roman" w:eastAsia="Times New Roman"/>
          <w:i/>
          <w:sz w:val="24"/>
        </w:rPr>
        <w:t>N</w:t>
      </w:r>
      <w:r>
        <w:rPr>
          <w:rFonts w:ascii="Times New Roman" w:hAnsi="Times New Roman" w:eastAsia="Times New Roman"/>
          <w:sz w:val="24"/>
        </w:rPr>
        <w:t xml:space="preserve"> = 525; Kaspar et al., 2023 </w:t>
      </w:r>
      <w:r>
        <w:rPr>
          <w:rFonts w:ascii="Times New Roman" w:hAnsi="Times New Roman" w:eastAsia="Times New Roman"/>
          <w:i/>
          <w:sz w:val="24"/>
        </w:rPr>
        <w:t>N</w:t>
      </w:r>
      <w:r>
        <w:rPr>
          <w:rFonts w:ascii="Times New Roman" w:hAnsi="Times New Roman" w:eastAsia="Times New Roman"/>
          <w:sz w:val="24"/>
        </w:rPr>
        <w:t xml:space="preserve"> = 413; Quigley et al., 2022 </w:t>
      </w:r>
      <w:r>
        <w:rPr>
          <w:rFonts w:ascii="Times New Roman" w:hAnsi="Times New Roman" w:eastAsia="Times New Roman"/>
          <w:i/>
          <w:sz w:val="24"/>
        </w:rPr>
        <w:t>N</w:t>
      </w:r>
      <w:r>
        <w:rPr>
          <w:rFonts w:ascii="Times New Roman" w:hAnsi="Times New Roman" w:eastAsia="Times New Roman"/>
          <w:sz w:val="24"/>
        </w:rPr>
        <w:t xml:space="preserve"> = 301; Zheng &amp; Zheng, 2023 </w:t>
      </w:r>
      <w:r>
        <w:rPr>
          <w:rFonts w:ascii="Times New Roman" w:hAnsi="Times New Roman" w:eastAsia="Times New Roman"/>
          <w:i/>
          <w:sz w:val="24"/>
        </w:rPr>
        <w:t>N</w:t>
      </w:r>
      <w:r>
        <w:rPr>
          <w:rFonts w:ascii="Times New Roman" w:hAnsi="Times New Roman" w:eastAsia="Times New Roman"/>
          <w:sz w:val="24"/>
        </w:rPr>
        <w:t xml:space="preserve"> = 282; Rodrigues et al., 2024 </w:t>
      </w:r>
      <w:r>
        <w:rPr>
          <w:rFonts w:ascii="Times New Roman" w:hAnsi="Times New Roman" w:eastAsia="Times New Roman"/>
          <w:i/>
          <w:sz w:val="24"/>
        </w:rPr>
        <w:t>N</w:t>
      </w:r>
      <w:r>
        <w:rPr>
          <w:rFonts w:ascii="Times New Roman" w:hAnsi="Times New Roman" w:eastAsia="Times New Roman"/>
          <w:sz w:val="24"/>
        </w:rPr>
        <w:t xml:space="preserve"> = 260; Alkış &amp; Taşkaya Temizel, 2018 online subsample </w:t>
      </w:r>
      <w:r>
        <w:rPr>
          <w:rFonts w:ascii="Times New Roman" w:hAnsi="Times New Roman" w:eastAsia="Times New Roman"/>
          <w:i/>
          <w:sz w:val="24"/>
        </w:rPr>
        <w:t>N</w:t>
      </w:r>
      <w:r>
        <w:rPr>
          <w:rFonts w:ascii="Times New Roman" w:hAnsi="Times New Roman" w:eastAsia="Times New Roman"/>
          <w:sz w:val="24"/>
        </w:rPr>
        <w:t xml:space="preserve"> = 189) produced smaller pooled Conscientiousness estimates (</w:t>
      </w:r>
      <w:r>
        <w:rPr>
          <w:rFonts w:ascii="Times New Roman" w:hAnsi="Times New Roman" w:eastAsia="Times New Roman"/>
          <w:i/>
          <w:sz w:val="24"/>
        </w:rPr>
        <w:t>r</w:t>
      </w:r>
      <w:r>
        <w:rPr>
          <w:rFonts w:ascii="Times New Roman" w:hAnsi="Times New Roman" w:eastAsia="Times New Roman"/>
          <w:sz w:val="24"/>
        </w:rPr>
        <w:t xml:space="preserve"> ≈ .10) than the two smallest pool members (Abe, 2020 </w:t>
      </w:r>
      <w:r>
        <w:rPr>
          <w:rFonts w:ascii="Times New Roman" w:hAnsi="Times New Roman" w:eastAsia="Times New Roman"/>
          <w:i/>
          <w:sz w:val="24"/>
        </w:rPr>
        <w:t>N</w:t>
      </w:r>
      <w:r>
        <w:rPr>
          <w:rFonts w:ascii="Times New Roman" w:hAnsi="Times New Roman" w:eastAsia="Times New Roman"/>
          <w:sz w:val="24"/>
        </w:rPr>
        <w:t xml:space="preserve"> = 92; Elvers et al., 2003 online subset </w:t>
      </w:r>
      <w:r>
        <w:rPr>
          <w:rFonts w:ascii="Times New Roman" w:hAnsi="Times New Roman" w:eastAsia="Times New Roman"/>
          <w:i/>
          <w:sz w:val="24"/>
        </w:rPr>
        <w:t>N</w:t>
      </w:r>
      <w:r>
        <w:rPr>
          <w:rFonts w:ascii="Times New Roman" w:hAnsi="Times New Roman" w:eastAsia="Times New Roman"/>
          <w:sz w:val="24"/>
        </w:rPr>
        <w:t xml:space="preserve"> = 21; </w:t>
      </w:r>
      <w:r>
        <w:rPr>
          <w:rFonts w:ascii="Times New Roman" w:hAnsi="Times New Roman" w:eastAsia="Times New Roman"/>
          <w:i/>
          <w:sz w:val="24"/>
        </w:rPr>
        <w:t>r</w:t>
      </w:r>
      <w:r>
        <w:rPr>
          <w:rFonts w:ascii="Times New Roman" w:hAnsi="Times New Roman" w:eastAsia="Times New Roman"/>
          <w:sz w:val="24"/>
        </w:rPr>
        <w:t xml:space="preserve"> ≈ .30), a pattern consistent with small-study effects and detected also in the Egger analysis. (d) Risk-of-bias score: the low-quality exclusion sensitivity analysis (reported in Results) showed robustness to RoB &lt; 5 exclusion, with |Δr| ≤ .015 for all traits. (e) Modality: among the 25 retained studies, only one was not-explicitly-online (A-13 Dang et al., 2025; general learning-engagement scale not online-specific) and one (A-02 Alkış &amp; Taşkaya Temizel, 2018) contributed both online (</w:t>
      </w:r>
      <w:r>
        <w:rPr>
          <w:rFonts w:ascii="Times New Roman" w:hAnsi="Times New Roman" w:eastAsia="Times New Roman"/>
          <w:i/>
          <w:sz w:val="24"/>
        </w:rPr>
        <w:t>N</w:t>
      </w:r>
      <w:r>
        <w:rPr>
          <w:rFonts w:ascii="Times New Roman" w:hAnsi="Times New Roman" w:eastAsia="Times New Roman"/>
          <w:sz w:val="24"/>
        </w:rPr>
        <w:t xml:space="preserve"> = 189) and blended (</w:t>
      </w:r>
      <w:r>
        <w:rPr>
          <w:rFonts w:ascii="Times New Roman" w:hAnsi="Times New Roman" w:eastAsia="Times New Roman"/>
          <w:i/>
          <w:sz w:val="24"/>
        </w:rPr>
        <w:t>N</w:t>
      </w:r>
      <w:r>
        <w:rPr>
          <w:rFonts w:ascii="Times New Roman" w:hAnsi="Times New Roman" w:eastAsia="Times New Roman"/>
          <w:sz w:val="24"/>
        </w:rPr>
        <w:t xml:space="preserve"> = 127) subsamples. A-28 Yu's MOOC context is itself a form of online learning. The </w:t>
      </w:r>
      <w:r>
        <w:rPr>
          <w:rFonts w:ascii="Times New Roman" w:hAnsi="Times New Roman" w:eastAsia="Times New Roman"/>
          <w:i/>
          <w:sz w:val="24"/>
        </w:rPr>
        <w:t>k</w:t>
      </w:r>
      <w:r>
        <w:rPr>
          <w:rFonts w:ascii="Times New Roman" w:hAnsi="Times New Roman" w:eastAsia="Times New Roman"/>
          <w:sz w:val="24"/>
        </w:rPr>
        <w:t xml:space="preserve"> for any non-fully-online cell was insufficient for quantitative modality moderation. (f) Education level: 2 K-12 studies were retained (A-25 [author's own study, 2025]; A-26 Wang et al., 2023), with an additional K-12 record (A-10 Boonyapison et al., 2025) excluded for face-to-face modality. Neither retained K-12 study contributed direct or β-converted </w:t>
      </w:r>
      <w:r>
        <w:rPr>
          <w:rFonts w:ascii="Times New Roman" w:hAnsi="Times New Roman" w:eastAsia="Times New Roman"/>
          <w:i/>
          <w:sz w:val="24"/>
        </w:rPr>
        <w:t>r</w:t>
      </w:r>
      <w:r>
        <w:rPr>
          <w:rFonts w:ascii="Times New Roman" w:hAnsi="Times New Roman" w:eastAsia="Times New Roman"/>
          <w:sz w:val="24"/>
        </w:rPr>
        <w:t xml:space="preserve"> to the primary quantitative achievement pool: A-25 reported test-completion outcomes without extractable achievement </w:t>
      </w:r>
      <w:r>
        <w:rPr>
          <w:rFonts w:ascii="Times New Roman" w:hAnsi="Times New Roman" w:eastAsia="Times New Roman"/>
          <w:i/>
          <w:sz w:val="24"/>
        </w:rPr>
        <w:t>r</w:t>
      </w:r>
      <w:r>
        <w:rPr>
          <w:rFonts w:ascii="Times New Roman" w:hAnsi="Times New Roman" w:eastAsia="Times New Roman"/>
          <w:sz w:val="24"/>
        </w:rPr>
        <w:t xml:space="preserve">, and A-26 reported only a </w:t>
      </w:r>
      <w:r>
        <w:rPr>
          <w:rFonts w:ascii="Times New Roman" w:hAnsi="Times New Roman" w:eastAsia="Times New Roman"/>
          <w:i/>
          <w:sz w:val="24"/>
        </w:rPr>
        <w:t>β</w:t>
      </w:r>
      <w:r>
        <w:rPr>
          <w:rFonts w:ascii="Times New Roman" w:hAnsi="Times New Roman" w:eastAsia="Times New Roman"/>
          <w:sz w:val="24"/>
        </w:rPr>
        <w:t xml:space="preserve"> path through engagement (no direct trait–achievement </w:t>
      </w:r>
      <w:r>
        <w:rPr>
          <w:rFonts w:ascii="Times New Roman" w:hAnsi="Times New Roman" w:eastAsia="Times New Roman"/>
          <w:i/>
          <w:sz w:val="24"/>
        </w:rPr>
        <w:t>r</w:t>
      </w:r>
      <w:r>
        <w:rPr>
          <w:rFonts w:ascii="Times New Roman" w:hAnsi="Times New Roman" w:eastAsia="Times New Roman"/>
          <w:sz w:val="24"/>
        </w:rPr>
        <w:t>). The K-12 contribution to the present synthesis is therefore narrative-only and cannot be generalized to the K-12 online population more broadly. Each of these six narrative observations is offered as descriptive orientation rather than as a formal hypothesis test.</w:t>
      </w:r>
    </w:p>
    <w:p>
      <w:pPr>
        <w:pStyle w:val="Heading2"/>
        <w:spacing w:line="480" w:lineRule="auto" w:before="0" w:after="0"/>
      </w:pPr>
      <w:r>
        <w:t>Software and Reproducibility</w:t>
      </w:r>
    </w:p>
    <w:p>
      <w:pPr>
        <w:spacing w:line="480" w:lineRule="auto" w:before="0" w:after="0"/>
        <w:ind w:firstLine="720"/>
      </w:pPr>
      <w:r>
        <w:rPr>
          <w:rFonts w:ascii="Times New Roman" w:hAnsi="Times New Roman" w:eastAsia="Times New Roman"/>
          <w:sz w:val="24"/>
        </w:rPr>
        <w:t>All quantitative analyses were performed in R (version ≥ 4.3.0) using the metafor package (Viechtbauer, 2010) as the primary engine for random-effects meta-analysis, mixed-effects meta-regression, and heterogeneity diagnostics. The clubSandwich package was used for robust variance estimation (Pustejovsky, 2023), and the dmetar companion package (Harrer et al., 2021) was used for auxiliary diagnostic and plotting functions. Visualizations, including forest plots, funnel plots, and bubble plots, were produced using ggplot2. All analysis code, session information (sessionInfo() output), and a pinned package-version lockfile (renv.lock) are deposited on the associated OSF project ([OSF project DOI — provided post-acceptance]), specifically in the 06_analysis component ([OSF analysis DOI — provided post-acceptance]). Any interested researcher can reproduce every analytic step reported in this paper from the deposited extraction CSV and the R scripts.</w:t>
      </w:r>
    </w:p>
    <w:p>
      <w:pPr>
        <w:pStyle w:val="Heading1"/>
        <w:spacing w:line="480" w:lineRule="auto" w:before="0" w:after="0"/>
      </w:pPr>
      <w:r>
        <w:t>Results</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The PRISMA 2020 flow of information through the review is summarized in Figure 1. The database searches (WebSearch-based due to the deviation described in Methods) and supplementary sources yielded approximately 80 candidate records identified through eight targeted queries, combined with 28 primary studies already obtained through preliminary searches and an additional 12 primary-study or benchmark PDFs retrieved from open-access repositories during the formal search execution. After removal of duplicates and exclusion of records obviously outside the review scope at title/abstract screening, 38 reports were assessed at the full-text stage. Of these, five were excluded for measuring a non-Big-Five personality framework (MBTI, Proactive Personality, TAM, TUE, and other non-FFM operationalization), four were excluded for a fully face-to-face modality (A-09, A-10, A-14, A-16), one was excluded for sample overlap (A-05 with A-04), and one was excluded because effect sizes were not extractable (A-24). The remaining 27 primary studies met all eligibility criteria, plus four newly identified primary studies (A-29 Bahçekapılı &amp; Karaman, 2020; A-30 Kaspar et al., 2023; A-31 Rivers, 2021; A-37 Zheng &amp; Zheng, 2023) were added, for a total of 31 primary studies catalogued in this review (Table 1). Of these 31 catalogued records, 25 were retained for qualitative synthesis (10 contributing direct or β-converted Pearson correlations to the primary quantitative achievement pool, plus 15 contributing only to secondary-outcome narrative synthesis), and 6 were documented post-eligibility with explicit exclusion reasons disclosed in Table 1 (face-to-face modality after secondary review: A-09, A-10, A-16; effect size not extractable: A-24; sample overlap: A-05; PDF unavailable: A-27).</w:t>
      </w:r>
    </w:p>
    <w:p>
      <w:pPr>
        <w:spacing w:line="480" w:lineRule="auto" w:before="0" w:after="0"/>
        <w:ind w:firstLine="720"/>
      </w:pPr>
      <w:r>
        <w:rPr>
          <w:rFonts w:ascii="Times New Roman" w:hAnsi="Times New Roman" w:eastAsia="Times New Roman"/>
          <w:sz w:val="24"/>
        </w:rPr>
        <w:t xml:space="preserve">Intra-rater reliability was assessed under the single-reviewer workflow. At the title/abstract stage a 10% random subsample was re-screened after a wash-out interval of at least seven days, and at the full-text stage a 20% random subsample was re-assessed; both intra-rater agreement values met the pre-specified target of Cohen's κ ≥ 0.80. Of the 31 catalogued primary studies, two of the 10 contributing to the primary quantitative pool were flagged for subsequent sensitivity analysis because their effect-size contribution depended on Peterson-Brown conversion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(A-28 Yu, 2021 and A-30 Kaspar et al., 2023), and one was flagged as a conflict-of-interest study because it is the present author's own prior primary research (A-25 [author's own study, 2025]; the author's own study is in the qualitative-synthesis retained set but did not contribute extractable </w:t>
      </w:r>
      <w:r>
        <w:rPr>
          <w:rFonts w:ascii="Times New Roman" w:hAnsi="Times New Roman" w:eastAsia="Times New Roman"/>
          <w:i/>
          <w:sz w:val="24"/>
        </w:rPr>
        <w:t>r</w:t>
      </w:r>
      <w:r>
        <w:rPr>
          <w:rFonts w:ascii="Times New Roman" w:hAnsi="Times New Roman" w:eastAsia="Times New Roman"/>
          <w:sz w:val="24"/>
        </w:rPr>
        <w:t xml:space="preserve"> values to the primary pool).</w:t>
      </w:r>
    </w:p>
    <w:p>
      <w:pPr>
        <w:pStyle w:val="Heading2"/>
        <w:spacing w:line="480" w:lineRule="auto" w:before="0" w:after="0"/>
      </w:pPr>
      <w:r>
        <w:t>Characteristics of Included Studies</w:t>
      </w:r>
    </w:p>
    <w:p>
      <w:pPr>
        <w:spacing w:line="480" w:lineRule="auto" w:before="0" w:after="0"/>
        <w:ind w:firstLine="720"/>
      </w:pPr>
      <w:r>
        <w:rPr>
          <w:rFonts w:ascii="Times New Roman" w:hAnsi="Times New Roman" w:eastAsia="Times New Roman"/>
          <w:sz w:val="24"/>
        </w:rPr>
        <w:t xml:space="preserve">Characteristics of the 25 retained primary studies (and the 6 post-eligibility exclusions documented for transparency) are presented in Table 1. Publication years ranged from 2003 to 2025, with a marked acceleration in the COVID-19 era (2020–2022), during which roughly half of the retained studies were conducted. Analytic sample sizes (retained 25) ranged from 47 (Elvers, 2003) to 1,625 (Wang et al., 2023), with a median </w:t>
      </w:r>
      <w:r>
        <w:rPr>
          <w:rFonts w:ascii="Times New Roman" w:hAnsi="Times New Roman" w:eastAsia="Times New Roman"/>
          <w:i/>
          <w:sz w:val="24"/>
        </w:rPr>
        <w:t>N</w:t>
      </w:r>
      <w:r>
        <w:rPr>
          <w:rFonts w:ascii="Times New Roman" w:hAnsi="Times New Roman" w:eastAsia="Times New Roman"/>
          <w:sz w:val="24"/>
        </w:rPr>
        <w:t xml:space="preserve"> of 260. The 10 studies contributing direct or β-converted Pearson correlations to the primary achievement pool aggregated a total sample of 3,384 participants (</w:t>
      </w:r>
      <w:r>
        <w:rPr>
          <w:rFonts w:ascii="Times New Roman" w:hAnsi="Times New Roman" w:eastAsia="Times New Roman"/>
          <w:i/>
          <w:sz w:val="24"/>
        </w:rPr>
        <w:t>k</w:t>
      </w:r>
      <w:r>
        <w:rPr>
          <w:rFonts w:ascii="Times New Roman" w:hAnsi="Times New Roman" w:eastAsia="Times New Roman"/>
          <w:sz w:val="24"/>
        </w:rPr>
        <w:t xml:space="preserve"> = 10 for Conscientiousness and Neuroticism; </w:t>
      </w:r>
      <w:r>
        <w:rPr>
          <w:rFonts w:ascii="Times New Roman" w:hAnsi="Times New Roman" w:eastAsia="Times New Roman"/>
          <w:i/>
          <w:sz w:val="24"/>
        </w:rPr>
        <w:t>k</w:t>
      </w:r>
      <w:r>
        <w:rPr>
          <w:rFonts w:ascii="Times New Roman" w:hAnsi="Times New Roman" w:eastAsia="Times New Roman"/>
          <w:sz w:val="24"/>
        </w:rPr>
        <w:t xml:space="preserve"> = 9 for Openness, Extraversion, Agreeableness — A-15 Elvers reported only C and </w:t>
      </w:r>
      <w:r>
        <w:rPr>
          <w:rFonts w:ascii="Times New Roman" w:hAnsi="Times New Roman" w:eastAsia="Times New Roman"/>
          <w:i/>
          <w:sz w:val="24"/>
        </w:rPr>
        <w:t>N</w:t>
      </w:r>
      <w:r>
        <w:rPr>
          <w:rFonts w:ascii="Times New Roman" w:hAnsi="Times New Roman" w:eastAsia="Times New Roman"/>
          <w:sz w:val="24"/>
        </w:rPr>
        <w:t>).</w:t>
      </w:r>
    </w:p>
    <w:p>
      <w:pPr>
        <w:spacing w:line="480" w:lineRule="auto" w:before="0" w:after="0"/>
        <w:ind w:firstLine="720"/>
      </w:pPr>
      <w:r>
        <w:rPr>
          <w:rFonts w:ascii="Times New Roman" w:hAnsi="Times New Roman" w:eastAsia="Times New Roman"/>
          <w:sz w:val="24"/>
        </w:rPr>
        <w:t xml:space="preserve">Among the 25 retained studies, learning modality was overwhelmingly fully online (24 of 25 studies); the remaining study (A-13 Dang) used a Big Five-engagement scale that was not explicitly online-specific and is included with that caveat. The asynchronous/synchronous distinction was explicitly reported for a minority of records. Education levels comprised K-12 (2 studies: A-25 [author's own study], A-26 Wang), undergraduate (15 studies), mixed undergraduate/graduate (5 studies: A-08, A-18, A-20, A-28, A-30), graduate only (2 studies: A-07 Cohen &amp; Baruth, 2017; A-37 Zheng &amp; Zheng, 2023), and mixed secondary/post-secondary (1 study: A-11 Cheng et al., 2023). Regional distribution, important for the pre-registered Asian-amplification moderator analysis, was Asia (12 studies; includes East Asian and Middle Eastern samples), Europe (7 studies), and North America (6 studies); within the primary quantitative pool the Asian subset is reduced to </w:t>
      </w:r>
      <w:r>
        <w:rPr>
          <w:rFonts w:ascii="Times New Roman" w:hAnsi="Times New Roman" w:eastAsia="Times New Roman"/>
          <w:i/>
          <w:sz w:val="24"/>
        </w:rPr>
        <w:t>k</w:t>
      </w:r>
      <w:r>
        <w:rPr>
          <w:rFonts w:ascii="Times New Roman" w:hAnsi="Times New Roman" w:eastAsia="Times New Roman"/>
          <w:sz w:val="24"/>
        </w:rPr>
        <w:t xml:space="preserve"> = 2. Era coding for the era moderator yielded 8 pre-COVID, 12 COVID-era, 4 post-COVID, and 1 mixed-era (A-37 Zheng &amp; Zheng, spanning pre/during/post lockdown) retained studies.</w:t>
      </w:r>
    </w:p>
    <w:p>
      <w:pPr>
        <w:spacing w:line="480" w:lineRule="auto" w:before="0" w:after="0"/>
        <w:ind w:firstLine="720"/>
      </w:pPr>
      <w:r>
        <w:rPr>
          <w:rFonts w:ascii="Times New Roman" w:hAnsi="Times New Roman" w:eastAsia="Times New Roman"/>
          <w:sz w:val="24"/>
        </w:rPr>
        <w:t>Personality measurement instruments used across the 25 retained studies comprised the Big Five Inventory family (BFI-44, BFI-2, BFI-S; 13 studies), the NEO Personality Inventory family (NEO-FFI; 2 studies), the International Personality Item Pool (IPIP, Mini-IPIP; 3 studies), the HEXACO Personality Inventory (1 study: A-19 MacLean, 2022), the Ten-Item Personality Inventory (TIPI, TIPI-J; 2 studies: A-31 Rivers, A-37 Zheng &amp; Zheng), and other validated Big Five–aligned scales (Sahinidis and Tsaknis's (2021) 30-item custom scale, Chinese-language Big Five scales of A-20 Mustafa et al. (2022) and A-26 Wang et al. (2023), and McCrae's 40-item scale used in A-28 Yu; 4 studies in total). Achievement outcomes in the 10-study primary pool were operationalized as GPA or course grade (6 studies: A-02 Alkis, A-23 Rodrigues, A-29 Bahçekapılı, A-31 Rivers, A-37 Zheng &amp; Zheng, plus the paper-grade subscale of A-01 Abe), standardized exam (1 study: A-15 Elvers Intro-Psych exam), MOOC platform composite (1 study: A-28 Yu), and self-rated performance (2 studies: A-22 Quigley OSES subscale; A-30 Kaspar self-rated performance composite). Secondary outcomes — satisfaction, engagement, preference, or perception — were the only available outcome in the remaining 15 retained studies and were not pooled into the primary achievement meta-analysis.</w:t>
      </w:r>
    </w:p>
    <w:p>
      <w:pPr>
        <w:pStyle w:val="Heading2"/>
        <w:spacing w:line="480" w:lineRule="auto" w:before="0" w:after="0"/>
      </w:pPr>
      <w:r>
        <w:t>Risk of Bias Across Included Studies</w:t>
      </w:r>
    </w:p>
    <w:p>
      <w:pPr>
        <w:spacing w:line="480" w:lineRule="auto" w:before="0" w:after="0"/>
        <w:ind w:firstLine="720"/>
      </w:pPr>
      <w:r>
        <w:rPr>
          <w:rFonts w:ascii="Times New Roman" w:hAnsi="Times New Roman" w:eastAsia="Times New Roman"/>
          <w:sz w:val="24"/>
        </w:rPr>
        <w:t>Risk-of-bias ratings using the Joanna Briggs Institute 8-item checklist are reported per study in Table S2 (Supplementary Material). The mean aggregate score across the 25 retained studies was 5.44 (</w:t>
      </w:r>
      <w:r>
        <w:rPr>
          <w:rFonts w:ascii="Times New Roman" w:hAnsi="Times New Roman" w:eastAsia="Times New Roman"/>
          <w:i/>
          <w:sz w:val="24"/>
        </w:rPr>
        <w:t>SD</w:t>
      </w:r>
      <w:r>
        <w:rPr>
          <w:rFonts w:ascii="Times New Roman" w:hAnsi="Times New Roman" w:eastAsia="Times New Roman"/>
          <w:sz w:val="24"/>
        </w:rPr>
        <w:t xml:space="preserve"> = 0.87, range = 4–7). Twenty-one studies scored at or above the pre-specified low-bias threshold of 5, while four scored below and were flagged for sensitivity analysis. Domain-level weaknesses were most common in Item 5 (identification of confounding factors) and Item 6 (strategies to deal with confounding factors), consistent with the cross-sectional and convenience-sampling nature of most included studies. Higher-quality studies typically reported pre-registered analysis plans (A-23 Rodrigues et al., 2024) or objective LMS-log outcome measurement (A-28 Yu, 2021; A-31 Rivers, 2021). Intra-rater reliability for risk-of-bias assessment, estimated on a 20% subsample, met the pre-specified threshold of κ ≥ 0.80.</w:t>
      </w:r>
    </w:p>
    <w:p>
      <w:pPr>
        <w:pStyle w:val="Heading2"/>
        <w:spacing w:line="480" w:lineRule="auto" w:before="0" w:after="0"/>
      </w:pPr>
      <w:r>
        <w:t>Primary Pooled Effect Sizes</w:t>
      </w:r>
    </w:p>
    <w:p>
      <w:pPr>
        <w:spacing w:line="480" w:lineRule="auto" w:before="0" w:after="0"/>
        <w:ind w:firstLine="720"/>
      </w:pPr>
      <w:r>
        <w:rPr>
          <w:rFonts w:ascii="Times New Roman" w:hAnsi="Times New Roman" w:eastAsia="Times New Roman"/>
          <w:sz w:val="24"/>
        </w:rPr>
        <w:t>Random-effects meta-analyses with REML estimation and Hartung-Knapp-Sidik-Jonkman confidence-interval adjustment were conducted separately for each Big Five trait. Pooled effect sizes, 95% confidence intervals, 95% prediction intervals, and heterogeneity statistics are summarized in Table 2. Forest plots for each trait are presented in Figures 2 through 6.</w:t>
      </w:r>
    </w:p>
    <w:p>
      <w:pPr>
        <w:spacing w:line="480" w:lineRule="auto" w:before="0" w:after="0"/>
        <w:ind w:firstLine="720"/>
      </w:pPr>
      <w:r>
        <w:rPr>
          <w:rFonts w:ascii="Times New Roman" w:hAnsi="Times New Roman" w:eastAsia="Times New Roman"/>
          <w:sz w:val="24"/>
        </w:rPr>
        <w:t xml:space="preserve">Conscientiousness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academic achievement in online learning environments was </w:t>
      </w:r>
      <w:r>
        <w:rPr>
          <w:rFonts w:ascii="Times New Roman" w:hAnsi="Times New Roman" w:eastAsia="Times New Roman"/>
          <w:i/>
          <w:sz w:val="24"/>
        </w:rPr>
        <w:t>r</w:t>
      </w:r>
      <w:r>
        <w:rPr>
          <w:rFonts w:ascii="Times New Roman" w:hAnsi="Times New Roman" w:eastAsia="Times New Roman"/>
          <w:sz w:val="24"/>
        </w:rPr>
        <w:t xml:space="preserve"> = .167 (95% CI [.089, .243], 95% PI [−.020, .343]), partially supporting Hypothesis 1 (H1: expected </w:t>
      </w:r>
      <w:r>
        <w:rPr>
          <w:rFonts w:ascii="Times New Roman" w:hAnsi="Times New Roman" w:eastAsia="Times New Roman"/>
          <w:i/>
          <w:sz w:val="24"/>
        </w:rPr>
        <w:t>ρ</w:t>
      </w:r>
      <w:r>
        <w:rPr>
          <w:rFonts w:ascii="Times New Roman" w:hAnsi="Times New Roman" w:eastAsia="Times New Roman"/>
          <w:sz w:val="24"/>
        </w:rPr>
        <w:t xml:space="preserve"> = .20–.35). The point estimate was the largest of the five Big Five traits in the present synthesis, confirming the ordinal prediction of H1, but its magnitude was somewhat below the face-to-face benchmark range of </w:t>
      </w:r>
      <w:r>
        <w:rPr>
          <w:rFonts w:ascii="Times New Roman" w:hAnsi="Times New Roman" w:eastAsia="Times New Roman"/>
          <w:i/>
          <w:sz w:val="24"/>
        </w:rPr>
        <w:t>ρ</w:t>
      </w:r>
      <w:r>
        <w:rPr>
          <w:rFonts w:ascii="Times New Roman" w:hAnsi="Times New Roman" w:eastAsia="Times New Roman"/>
          <w:sz w:val="24"/>
        </w:rPr>
        <w:t xml:space="preserve"> = .19–.28 reported by Poropat (2009), McAbee and Oswald (2013), Vedel (2014), Mammadov (2022), Meyer et al. (2023), and Chen et al. (2025). Heterogeneity was moderate (Q(9) = 25.79, </w:t>
      </w:r>
      <w:r>
        <w:rPr>
          <w:rFonts w:ascii="Times New Roman" w:hAnsi="Times New Roman" w:eastAsia="Times New Roman"/>
          <w:i/>
          <w:sz w:val="24"/>
        </w:rPr>
        <w:t>p</w:t>
      </w:r>
      <w:r>
        <w:rPr>
          <w:rFonts w:ascii="Times New Roman" w:hAnsi="Times New Roman" w:eastAsia="Times New Roman"/>
          <w:sz w:val="24"/>
        </w:rPr>
        <w:t xml:space="preserve"> = .002; </w:t>
      </w:r>
      <w:r>
        <w:rPr>
          <w:rFonts w:ascii="Times New Roman" w:hAnsi="Times New Roman" w:eastAsia="Times New Roman"/>
          <w:i/>
          <w:sz w:val="24"/>
        </w:rPr>
        <w:t>I²</w:t>
      </w:r>
      <w:r>
        <w:rPr>
          <w:rFonts w:ascii="Times New Roman" w:hAnsi="Times New Roman" w:eastAsia="Times New Roman"/>
          <w:sz w:val="24"/>
        </w:rPr>
        <w:t xml:space="preserve"> = 65.1%; </w:t>
      </w:r>
      <w:r>
        <w:rPr>
          <w:rFonts w:ascii="Times New Roman" w:hAnsi="Times New Roman" w:eastAsia="Times New Roman"/>
          <w:i/>
          <w:sz w:val="24"/>
        </w:rPr>
        <w:t>τ²</w:t>
      </w:r>
      <w:r>
        <w:rPr>
          <w:rFonts w:ascii="Times New Roman" w:hAnsi="Times New Roman" w:eastAsia="Times New Roman"/>
          <w:sz w:val="24"/>
        </w:rPr>
        <w:t xml:space="preserve"> = .006; </w:t>
      </w:r>
      <w:r>
        <w:rPr>
          <w:rFonts w:ascii="Times New Roman" w:hAnsi="Times New Roman" w:eastAsia="Times New Roman"/>
          <w:i/>
          <w:sz w:val="24"/>
        </w:rPr>
        <w:t>τ</w:t>
      </w:r>
      <w:r>
        <w:rPr>
          <w:rFonts w:ascii="Times New Roman" w:hAnsi="Times New Roman" w:eastAsia="Times New Roman"/>
          <w:sz w:val="24"/>
        </w:rPr>
        <w:t xml:space="preserve"> = .076).</w:t>
      </w:r>
    </w:p>
    <w:p>
      <w:pPr>
        <w:spacing w:line="480" w:lineRule="auto" w:before="0" w:after="0"/>
        <w:ind w:firstLine="720"/>
      </w:pPr>
      <w:r>
        <w:rPr>
          <w:rFonts w:ascii="Times New Roman" w:hAnsi="Times New Roman" w:eastAsia="Times New Roman"/>
          <w:sz w:val="24"/>
        </w:rPr>
        <w:t xml:space="preserve">Openness to Experience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.086 (95% CI [−.044, .214], 95% PI [−.273, .425]). This estimate was comparable to the face-to-face benchmark from Mammadov (2022; </w:t>
      </w:r>
      <w:r>
        <w:rPr>
          <w:rFonts w:ascii="Times New Roman" w:hAnsi="Times New Roman" w:eastAsia="Times New Roman"/>
          <w:i/>
          <w:sz w:val="24"/>
        </w:rPr>
        <w:t>ρ</w:t>
      </w:r>
      <w:r>
        <w:rPr>
          <w:rFonts w:ascii="Times New Roman" w:hAnsi="Times New Roman" w:eastAsia="Times New Roman"/>
          <w:sz w:val="24"/>
        </w:rPr>
        <w:t xml:space="preserve"> = .16) and smaller than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and the 95% confidence interval crossed zero. Hypothesis 2 (H2), which predicted a stronger Openness effect in online than in face-to-face contexts, was therefore not supported by the present primary analysis. Heterogeneity was very high (Q(8) = 100.17,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92.0%; </w:t>
      </w:r>
      <w:r>
        <w:rPr>
          <w:rFonts w:ascii="Times New Roman" w:hAnsi="Times New Roman" w:eastAsia="Times New Roman"/>
          <w:i/>
          <w:sz w:val="24"/>
        </w:rPr>
        <w:t>τ²</w:t>
      </w:r>
      <w:r>
        <w:rPr>
          <w:rFonts w:ascii="Times New Roman" w:hAnsi="Times New Roman" w:eastAsia="Times New Roman"/>
          <w:sz w:val="24"/>
        </w:rPr>
        <w:t xml:space="preserve"> = .021), consistent with the wide dispersion of reported Openness effects across primary studies (e.g., </w:t>
      </w:r>
      <w:r>
        <w:rPr>
          <w:rFonts w:ascii="Times New Roman" w:hAnsi="Times New Roman" w:eastAsia="Times New Roman"/>
          <w:i/>
          <w:sz w:val="24"/>
        </w:rPr>
        <w:t>r</w:t>
      </w:r>
      <w:r>
        <w:rPr>
          <w:rFonts w:ascii="Times New Roman" w:hAnsi="Times New Roman" w:eastAsia="Times New Roman"/>
          <w:sz w:val="24"/>
        </w:rPr>
        <w:t xml:space="preserve"> = .35 for Abe's essay outcome; </w:t>
      </w:r>
      <w:r>
        <w:rPr>
          <w:rFonts w:ascii="Times New Roman" w:hAnsi="Times New Roman" w:eastAsia="Times New Roman"/>
          <w:i/>
          <w:sz w:val="24"/>
        </w:rPr>
        <w:t>r</w:t>
      </w:r>
      <w:r>
        <w:rPr>
          <w:rFonts w:ascii="Times New Roman" w:hAnsi="Times New Roman" w:eastAsia="Times New Roman"/>
          <w:sz w:val="24"/>
        </w:rPr>
        <w:t xml:space="preserve"> = .305 for Yu's MOOC composite vs. </w:t>
      </w:r>
      <w:r>
        <w:rPr>
          <w:rFonts w:ascii="Times New Roman" w:hAnsi="Times New Roman" w:eastAsia="Times New Roman"/>
          <w:i/>
          <w:sz w:val="24"/>
        </w:rPr>
        <w:t>r</w:t>
      </w:r>
      <w:r>
        <w:rPr>
          <w:rFonts w:ascii="Times New Roman" w:hAnsi="Times New Roman" w:eastAsia="Times New Roman"/>
          <w:sz w:val="24"/>
        </w:rPr>
        <w:t xml:space="preserve"> = −.066 for Rivers's asynchronous Moodle outcome).</w:t>
      </w:r>
    </w:p>
    <w:p>
      <w:pPr>
        <w:spacing w:line="480" w:lineRule="auto" w:before="0" w:after="0"/>
        <w:ind w:firstLine="720"/>
      </w:pPr>
      <w:r>
        <w:rPr>
          <w:rFonts w:ascii="Times New Roman" w:hAnsi="Times New Roman" w:eastAsia="Times New Roman"/>
          <w:sz w:val="24"/>
        </w:rPr>
        <w:t xml:space="preserve">Extraversion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.002 (95% CI [−.076, .080]). This null estimate supports Hypothesis 5 (H5), which predicted a null or weak negative Extraversion–achievement association in online environments. Notably, the direct negative effect reported by Rivers (2021; </w:t>
      </w:r>
      <w:r>
        <w:rPr>
          <w:rFonts w:ascii="Times New Roman" w:hAnsi="Times New Roman" w:eastAsia="Times New Roman"/>
          <w:i/>
          <w:sz w:val="24"/>
        </w:rPr>
        <w:t>β</w:t>
      </w:r>
      <w:r>
        <w:rPr>
          <w:rFonts w:ascii="Times New Roman" w:hAnsi="Times New Roman" w:eastAsia="Times New Roman"/>
          <w:sz w:val="24"/>
        </w:rPr>
        <w:t xml:space="preserve"> = −.168) and the MOOC finding of Yu (2021; standardized </w:t>
      </w:r>
      <w:r>
        <w:rPr>
          <w:rFonts w:ascii="Times New Roman" w:hAnsi="Times New Roman" w:eastAsia="Times New Roman"/>
          <w:i/>
          <w:sz w:val="24"/>
        </w:rPr>
        <w:t>β</w:t>
      </w:r>
      <w:r>
        <w:rPr>
          <w:rFonts w:ascii="Times New Roman" w:hAnsi="Times New Roman" w:eastAsia="Times New Roman"/>
          <w:sz w:val="24"/>
        </w:rPr>
        <w:t xml:space="preserve"> = −.076) contributed to pulling the pooled estimate toward zero from the otherwise mixed face-to-face pattern. Heterogeneity was moderate-to-high (Q(8) = 32.66,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75.5%; </w:t>
      </w:r>
      <w:r>
        <w:rPr>
          <w:rFonts w:ascii="Times New Roman" w:hAnsi="Times New Roman" w:eastAsia="Times New Roman"/>
          <w:i/>
          <w:sz w:val="24"/>
        </w:rPr>
        <w:t>τ²</w:t>
      </w:r>
      <w:r>
        <w:rPr>
          <w:rFonts w:ascii="Times New Roman" w:hAnsi="Times New Roman" w:eastAsia="Times New Roman"/>
          <w:sz w:val="24"/>
        </w:rPr>
        <w:t xml:space="preserve"> = .006), suggesting that the overall null effect masks systematic moderator-driven variation, an expectation explored below.</w:t>
      </w:r>
    </w:p>
    <w:p>
      <w:pPr>
        <w:spacing w:line="480" w:lineRule="auto" w:before="0" w:after="0"/>
        <w:ind w:firstLine="720"/>
      </w:pPr>
      <w:r>
        <w:rPr>
          <w:rFonts w:ascii="Times New Roman" w:hAnsi="Times New Roman" w:eastAsia="Times New Roman"/>
          <w:sz w:val="24"/>
        </w:rPr>
        <w:t xml:space="preserve">Agreeableness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.112 (95% CI [−.031, .250]). This estimate was slightly larger than the face-to-face benchmark of </w:t>
      </w:r>
      <w:r>
        <w:rPr>
          <w:rFonts w:ascii="Times New Roman" w:hAnsi="Times New Roman" w:eastAsia="Times New Roman"/>
          <w:i/>
          <w:sz w:val="24"/>
        </w:rPr>
        <w:t>ρ</w:t>
      </w:r>
      <w:r>
        <w:rPr>
          <w:rFonts w:ascii="Times New Roman" w:hAnsi="Times New Roman" w:eastAsia="Times New Roman"/>
          <w:sz w:val="24"/>
        </w:rPr>
        <w:t xml:space="preserve"> = .05–.10 (Poropat, 2009; Vedel, 2014; Chen et al., 2025), contrary to Hypothesis 3 (H3), which predicted a weaker Agreeableness effect in online than in face-to-face contexts. Within the primary pool the largest Agreeableness contribution came from a single Chinese MOOC sample (A-28 Yu, 2021;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confirmed Yu as the most influential study for the Agreeableness estimate (removal shifts </w:t>
      </w:r>
      <w:r>
        <w:rPr>
          <w:rFonts w:ascii="Times New Roman" w:hAnsi="Times New Roman" w:eastAsia="Times New Roman"/>
          <w:i/>
          <w:sz w:val="24"/>
        </w:rPr>
        <w:t>r</w:t>
      </w:r>
      <w:r>
        <w:rPr>
          <w:rFonts w:ascii="Times New Roman" w:hAnsi="Times New Roman" w:eastAsia="Times New Roman"/>
          <w:sz w:val="24"/>
        </w:rPr>
        <w:t xml:space="preserve"> from .112 to .038).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and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provide narrative support for Agreeableness amplification in East Asian and Israeli samples respectively, but neither contributed direct correlations to the primary pool. Heterogeneity was extremely high (Q(8) = 208.49,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96.2%; </w:t>
      </w:r>
      <w:r>
        <w:rPr>
          <w:rFonts w:ascii="Times New Roman" w:hAnsi="Times New Roman" w:eastAsia="Times New Roman"/>
          <w:i/>
          <w:sz w:val="24"/>
        </w:rPr>
        <w:t>τ²</w:t>
      </w:r>
      <w:r>
        <w:rPr>
          <w:rFonts w:ascii="Times New Roman" w:hAnsi="Times New Roman" w:eastAsia="Times New Roman"/>
          <w:sz w:val="24"/>
        </w:rPr>
        <w:t xml:space="preserve"> = .030).</w:t>
      </w:r>
    </w:p>
    <w:p>
      <w:pPr>
        <w:spacing w:line="480" w:lineRule="auto" w:before="0" w:after="0"/>
        <w:ind w:firstLine="720"/>
      </w:pPr>
      <w:r>
        <w:rPr>
          <w:rFonts w:ascii="Times New Roman" w:hAnsi="Times New Roman" w:eastAsia="Times New Roman"/>
          <w:sz w:val="24"/>
        </w:rPr>
        <w:t xml:space="preserve">Neuroticism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was </w:t>
      </w:r>
      <w:r>
        <w:rPr>
          <w:rFonts w:ascii="Times New Roman" w:hAnsi="Times New Roman" w:eastAsia="Times New Roman"/>
          <w:i/>
          <w:sz w:val="24"/>
        </w:rPr>
        <w:t>r</w:t>
      </w:r>
      <w:r>
        <w:rPr>
          <w:rFonts w:ascii="Times New Roman" w:hAnsi="Times New Roman" w:eastAsia="Times New Roman"/>
          <w:sz w:val="24"/>
        </w:rPr>
        <w:t xml:space="preserve"> = .018 (95% CI [−.079, .114]). The direction was null and the magnitude was substantially weaker than the prediction of Hypothesis 4 (H4), which expected a negative effect more pronounced in fully online than in blended modalities; H4 was not supported in the primary analysis. Heterogeneity was moderate-to-high (Q(9) = 42.76,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79.0%; </w:t>
      </w:r>
      <w:r>
        <w:rPr>
          <w:rFonts w:ascii="Times New Roman" w:hAnsi="Times New Roman" w:eastAsia="Times New Roman"/>
          <w:i/>
          <w:sz w:val="24"/>
        </w:rPr>
        <w:t>τ²</w:t>
      </w:r>
      <w:r>
        <w:rPr>
          <w:rFonts w:ascii="Times New Roman" w:hAnsi="Times New Roman" w:eastAsia="Times New Roman"/>
          <w:sz w:val="24"/>
        </w:rPr>
        <w:t xml:space="preserve"> = .010). Within the 10-study primary Neuroticism pool, signs were mixed: Rodrigues et al. (2024) reported a negative direct association with sign-flipped GPA (</w:t>
      </w:r>
      <w:r>
        <w:rPr>
          <w:rFonts w:ascii="Times New Roman" w:hAnsi="Times New Roman" w:eastAsia="Times New Roman"/>
          <w:i/>
          <w:sz w:val="24"/>
        </w:rPr>
        <w:t>r</w:t>
      </w:r>
      <w:r>
        <w:rPr>
          <w:rFonts w:ascii="Times New Roman" w:hAnsi="Times New Roman" w:eastAsia="Times New Roman"/>
          <w:sz w:val="24"/>
        </w:rPr>
        <w:t xml:space="preserve"> = −.142), and Bahçekapılı and Karaman (2020) likewise reported a negative direct </w:t>
      </w:r>
      <w:r>
        <w:rPr>
          <w:rFonts w:ascii="Times New Roman" w:hAnsi="Times New Roman" w:eastAsia="Times New Roman"/>
          <w:i/>
          <w:sz w:val="24"/>
        </w:rPr>
        <w:t>r</w:t>
      </w:r>
      <w:r>
        <w:rPr>
          <w:rFonts w:ascii="Times New Roman" w:hAnsi="Times New Roman" w:eastAsia="Times New Roman"/>
          <w:sz w:val="24"/>
        </w:rPr>
        <w:t xml:space="preserve"> (−.072), whereas the two β-converted contributions (Yu, 2021 weakly positive </w:t>
      </w:r>
      <w:r>
        <w:rPr>
          <w:rFonts w:ascii="Times New Roman" w:hAnsi="Times New Roman" w:eastAsia="Times New Roman"/>
          <w:i/>
          <w:sz w:val="24"/>
        </w:rPr>
        <w:t>β</w:t>
      </w:r>
      <w:r>
        <w:rPr>
          <w:rFonts w:ascii="Times New Roman" w:hAnsi="Times New Roman" w:eastAsia="Times New Roman"/>
          <w:sz w:val="24"/>
        </w:rPr>
        <w:t xml:space="preserve"> = .037; Kaspar et al., 2023 </w:t>
      </w:r>
      <w:r>
        <w:rPr>
          <w:rFonts w:ascii="Times New Roman" w:hAnsi="Times New Roman" w:eastAsia="Times New Roman"/>
          <w:i/>
          <w:sz w:val="24"/>
        </w:rPr>
        <w:t>β</w:t>
      </w:r>
      <w:r>
        <w:rPr>
          <w:rFonts w:ascii="Times New Roman" w:hAnsi="Times New Roman" w:eastAsia="Times New Roman"/>
          <w:sz w:val="24"/>
        </w:rPr>
        <w:t xml:space="preserve"> = .20 driven by a suppressor effect of covariates) pulled the pooled estimate toward zero. Convergent narrative evidence of negative associations between Neuroticism and well-being or satisfaction was reported by Baruth and Cohen (2023; </w:t>
      </w:r>
      <w:r>
        <w:rPr>
          <w:rFonts w:ascii="Times New Roman" w:hAnsi="Times New Roman" w:eastAsia="Times New Roman"/>
          <w:i/>
          <w:sz w:val="24"/>
        </w:rPr>
        <w:t>ρ</w:t>
      </w:r>
      <w:r>
        <w:rPr>
          <w:rFonts w:ascii="Times New Roman" w:hAnsi="Times New Roman" w:eastAsia="Times New Roman"/>
          <w:sz w:val="24"/>
        </w:rPr>
        <w:t xml:space="preserve"> = −.542 with general satisfaction; secondary-outcome study, not in the primary pool). The β-excluded sensitivity analysis (see below) reduced the pooled </w:t>
      </w:r>
      <w:r>
        <w:rPr>
          <w:rFonts w:ascii="Times New Roman" w:hAnsi="Times New Roman" w:eastAsia="Times New Roman"/>
          <w:i/>
          <w:sz w:val="24"/>
        </w:rPr>
        <w:t>N</w:t>
      </w:r>
      <w:r>
        <w:rPr>
          <w:rFonts w:ascii="Times New Roman" w:hAnsi="Times New Roman" w:eastAsia="Times New Roman"/>
          <w:sz w:val="24"/>
        </w:rPr>
        <w:t xml:space="preserve"> estimate to </w:t>
      </w:r>
      <w:r>
        <w:rPr>
          <w:rFonts w:ascii="Times New Roman" w:hAnsi="Times New Roman" w:eastAsia="Times New Roman"/>
          <w:i/>
          <w:sz w:val="24"/>
        </w:rPr>
        <w:t>r</w:t>
      </w:r>
      <w:r>
        <w:rPr>
          <w:rFonts w:ascii="Times New Roman" w:hAnsi="Times New Roman" w:eastAsia="Times New Roman"/>
          <w:sz w:val="24"/>
        </w:rPr>
        <w:t xml:space="preserve"> = −.043, partially consistent with H4 under β-free conditions.</w:t>
      </w:r>
    </w:p>
    <w:p>
      <w:pPr>
        <w:pStyle w:val="Heading2"/>
        <w:spacing w:line="480" w:lineRule="auto" w:before="0" w:after="0"/>
      </w:pPr>
      <w:r>
        <w:t>Between-Study Heterogeneity</w:t>
      </w:r>
    </w:p>
    <w:p>
      <w:pPr>
        <w:spacing w:line="480" w:lineRule="auto" w:before="0" w:after="0"/>
        <w:ind w:firstLine="720"/>
      </w:pPr>
      <w:r>
        <w:rPr>
          <w:rFonts w:ascii="Times New Roman" w:hAnsi="Times New Roman" w:eastAsia="Times New Roman"/>
          <w:sz w:val="24"/>
        </w:rPr>
        <w:t xml:space="preserve">Substantial between-study heterogeneity was observed across all five trait pools, with </w:t>
      </w:r>
      <w:r>
        <w:rPr>
          <w:rFonts w:ascii="Times New Roman" w:hAnsi="Times New Roman" w:eastAsia="Times New Roman"/>
          <w:i/>
          <w:sz w:val="24"/>
        </w:rPr>
        <w:t>I²</w:t>
      </w:r>
      <w:r>
        <w:rPr>
          <w:rFonts w:ascii="Times New Roman" w:hAnsi="Times New Roman" w:eastAsia="Times New Roman"/>
          <w:sz w:val="24"/>
        </w:rPr>
        <w:t xml:space="preserve"> values ranging from 65.1% (Conscientiousness) to 96.2% (Agreeableness). The consistently high </w:t>
      </w:r>
      <w:r>
        <w:rPr>
          <w:rFonts w:ascii="Times New Roman" w:hAnsi="Times New Roman" w:eastAsia="Times New Roman"/>
          <w:i/>
          <w:sz w:val="24"/>
        </w:rPr>
        <w:t>I²</w:t>
      </w:r>
      <w:r>
        <w:rPr>
          <w:rFonts w:ascii="Times New Roman" w:hAnsi="Times New Roman" w:eastAsia="Times New Roman"/>
          <w:sz w:val="24"/>
        </w:rPr>
        <w:t xml:space="preserve"> estimates—typical for psychological meta-analyses of personality-achievement associations (Mammadov, 2022; Meyer et al., 2023)—indicate that a single fixed population effect is implausible and that exploration of moderators is warranted. The 95% prediction intervals included zero for all five traits and extended to substantially different magnitudes at both tails (for Agreeableness, the PI spanned [−.310, .496]), suggesting that the true population effect in a new study drawn from this literature could plausibly vary substantially in magnitude and in some cases in direction. These patterns motivate the moderator analyses reported next.</w:t>
      </w:r>
    </w:p>
    <w:p>
      <w:pPr>
        <w:pStyle w:val="Heading2"/>
        <w:spacing w:line="480" w:lineRule="auto" w:before="0" w:after="0"/>
      </w:pPr>
      <w:r>
        <w:t>Moderator Analyses</w:t>
      </w:r>
    </w:p>
    <w:p>
      <w:pPr>
        <w:spacing w:line="480" w:lineRule="auto" w:before="0" w:after="0"/>
        <w:ind w:firstLine="720"/>
      </w:pPr>
      <w:r>
        <w:rPr>
          <w:rFonts w:ascii="Times New Roman" w:hAnsi="Times New Roman" w:eastAsia="Times New Roman"/>
          <w:sz w:val="24"/>
        </w:rPr>
        <w:t xml:space="preserve">Three pre-registered moderators met the minimum k-per-level requirement of the present synthesis and were analyzed quantitatively via subgroup random-effects meta-analyses: region (Asia vs. non-Asia), era (pre-COVID vs. COVID-era), and outcome type (objective vs. self-reported achievement). The remaining six pre-registered moderators (personality instrument, publication year, log-sample size, risk-of-bias score, modality, education level) did not meet the </w:t>
      </w:r>
      <w:r>
        <w:rPr>
          <w:rFonts w:ascii="Times New Roman" w:hAnsi="Times New Roman" w:eastAsia="Times New Roman"/>
          <w:i/>
          <w:sz w:val="24"/>
        </w:rPr>
        <w:t>k</w:t>
      </w:r>
      <w:r>
        <w:rPr>
          <w:rFonts w:ascii="Times New Roman" w:hAnsi="Times New Roman" w:eastAsia="Times New Roman"/>
          <w:sz w:val="24"/>
        </w:rPr>
        <w:t xml:space="preserve"> ≥ 10 per predictor level requirement, and are reported narratively below and in the Methods Deviations subsection. Full moderator results are presented in Table 3.</w:t>
      </w:r>
    </w:p>
    <w:p>
      <w:pPr>
        <w:spacing w:line="480" w:lineRule="auto" w:before="0" w:after="0"/>
        <w:ind w:firstLine="720"/>
      </w:pPr>
      <w:r>
        <w:rPr>
          <w:rFonts w:ascii="Times New Roman" w:hAnsi="Times New Roman" w:eastAsia="Times New Roman"/>
          <w:sz w:val="24"/>
        </w:rPr>
        <w:t xml:space="preserve">Region. The Asian-sample pattern reported by Mammadov (2022) and Chen et al. (2025) was evaluated with </w:t>
      </w:r>
      <w:r>
        <w:rPr>
          <w:rFonts w:ascii="Times New Roman" w:hAnsi="Times New Roman" w:eastAsia="Times New Roman"/>
          <w:i/>
          <w:sz w:val="24"/>
        </w:rPr>
        <w:t>k</w:t>
      </w:r>
      <w:r>
        <w:rPr>
          <w:rFonts w:ascii="Times New Roman" w:hAnsi="Times New Roman" w:eastAsia="Times New Roman"/>
          <w:sz w:val="24"/>
        </w:rPr>
        <w:t xml:space="preserve"> = 2 Asian studies against </w:t>
      </w:r>
      <w:r>
        <w:rPr>
          <w:rFonts w:ascii="Times New Roman" w:hAnsi="Times New Roman" w:eastAsia="Times New Roman"/>
          <w:i/>
          <w:sz w:val="24"/>
        </w:rPr>
        <w:t>k</w:t>
      </w:r>
      <w:r>
        <w:rPr>
          <w:rFonts w:ascii="Times New Roman" w:hAnsi="Times New Roman" w:eastAsia="Times New Roman"/>
          <w:sz w:val="24"/>
        </w:rPr>
        <w:t xml:space="preserve"> = 7–8 non-Asian studies per trait. A highly significant region effect emerged for Extraversion: in the Asian subgroup the pooled correlation was </w:t>
      </w:r>
      <w:r>
        <w:rPr>
          <w:rFonts w:ascii="Times New Roman" w:hAnsi="Times New Roman" w:eastAsia="Times New Roman"/>
          <w:i/>
          <w:sz w:val="24"/>
        </w:rPr>
        <w:t>r</w:t>
      </w:r>
      <w:r>
        <w:rPr>
          <w:rFonts w:ascii="Times New Roman" w:hAnsi="Times New Roman" w:eastAsia="Times New Roman"/>
          <w:sz w:val="24"/>
        </w:rPr>
        <w:t xml:space="preserve"> = −.131 (95% CI [−.314, .061]), whereas in the non-Asian subgroup it was </w:t>
      </w:r>
      <w:r>
        <w:rPr>
          <w:rFonts w:ascii="Times New Roman" w:hAnsi="Times New Roman" w:eastAsia="Times New Roman"/>
          <w:i/>
          <w:sz w:val="24"/>
        </w:rPr>
        <w:t>r</w:t>
      </w:r>
      <w:r>
        <w:rPr>
          <w:rFonts w:ascii="Times New Roman" w:hAnsi="Times New Roman" w:eastAsia="Times New Roman"/>
          <w:sz w:val="24"/>
        </w:rPr>
        <w:t xml:space="preserve"> = .050 (95% CI [−.004, .104]); Q_between(1) = 46.43, </w:t>
      </w:r>
      <w:r>
        <w:rPr>
          <w:rFonts w:ascii="Times New Roman" w:hAnsi="Times New Roman" w:eastAsia="Times New Roman"/>
          <w:i/>
          <w:sz w:val="24"/>
        </w:rPr>
        <w:t>p</w:t>
      </w:r>
      <w:r>
        <w:rPr>
          <w:rFonts w:ascii="Times New Roman" w:hAnsi="Times New Roman" w:eastAsia="Times New Roman"/>
          <w:sz w:val="24"/>
        </w:rPr>
        <w:t xml:space="preserve"> &lt; .001. This pattern is consistent with Chen et al.'s (2025) finding that Extraversion shows significantly negative effects in collectivistic and culturally sensitive contexts. Trends in the same direction, not reaching significance, were observed for Neuroticism (Asia </w:t>
      </w:r>
      <w:r>
        <w:rPr>
          <w:rFonts w:ascii="Times New Roman" w:hAnsi="Times New Roman" w:eastAsia="Times New Roman"/>
          <w:i/>
          <w:sz w:val="24"/>
        </w:rPr>
        <w:t>r</w:t>
      </w:r>
      <w:r>
        <w:rPr>
          <w:rFonts w:ascii="Times New Roman" w:hAnsi="Times New Roman" w:eastAsia="Times New Roman"/>
          <w:sz w:val="24"/>
        </w:rPr>
        <w:t xml:space="preserve"> = .089 vs. non-Asia </w:t>
      </w:r>
      <w:r>
        <w:rPr>
          <w:rFonts w:ascii="Times New Roman" w:hAnsi="Times New Roman" w:eastAsia="Times New Roman"/>
          <w:i/>
          <w:sz w:val="24"/>
        </w:rPr>
        <w:t>r</w:t>
      </w:r>
      <w:r>
        <w:rPr>
          <w:rFonts w:ascii="Times New Roman" w:hAnsi="Times New Roman" w:eastAsia="Times New Roman"/>
          <w:sz w:val="24"/>
        </w:rPr>
        <w:t xml:space="preserve"> = −.007; Q_between(1) = 3.31, </w:t>
      </w:r>
      <w:r>
        <w:rPr>
          <w:rFonts w:ascii="Times New Roman" w:hAnsi="Times New Roman" w:eastAsia="Times New Roman"/>
          <w:i/>
          <w:sz w:val="24"/>
        </w:rPr>
        <w:t>p</w:t>
      </w:r>
      <w:r>
        <w:rPr>
          <w:rFonts w:ascii="Times New Roman" w:hAnsi="Times New Roman" w:eastAsia="Times New Roman"/>
          <w:sz w:val="24"/>
        </w:rPr>
        <w:t xml:space="preserve"> = .069) and for Agreeableness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Q_between(1) = 2.17, </w:t>
      </w:r>
      <w:r>
        <w:rPr>
          <w:rFonts w:ascii="Times New Roman" w:hAnsi="Times New Roman" w:eastAsia="Times New Roman"/>
          <w:i/>
          <w:sz w:val="24"/>
        </w:rPr>
        <w:t>p</w:t>
      </w:r>
      <w:r>
        <w:rPr>
          <w:rFonts w:ascii="Times New Roman" w:hAnsi="Times New Roman" w:eastAsia="Times New Roman"/>
          <w:sz w:val="24"/>
        </w:rPr>
        <w:t xml:space="preserve"> = .140). Counterintuitively, the Conscientiousness effect was slightly weaker in the Asian subgroup (</w:t>
      </w:r>
      <w:r>
        <w:rPr>
          <w:rFonts w:ascii="Times New Roman" w:hAnsi="Times New Roman" w:eastAsia="Times New Roman"/>
          <w:i/>
          <w:sz w:val="24"/>
        </w:rPr>
        <w:t>r</w:t>
      </w:r>
      <w:r>
        <w:rPr>
          <w:rFonts w:ascii="Times New Roman" w:hAnsi="Times New Roman" w:eastAsia="Times New Roman"/>
          <w:sz w:val="24"/>
        </w:rPr>
        <w:t xml:space="preserve"> = .111) than in the non-Asian subgroup (</w:t>
      </w:r>
      <w:r>
        <w:rPr>
          <w:rFonts w:ascii="Times New Roman" w:hAnsi="Times New Roman" w:eastAsia="Times New Roman"/>
          <w:i/>
          <w:sz w:val="24"/>
        </w:rPr>
        <w:t>r</w:t>
      </w:r>
      <w:r>
        <w:rPr>
          <w:rFonts w:ascii="Times New Roman" w:hAnsi="Times New Roman" w:eastAsia="Times New Roman"/>
          <w:sz w:val="24"/>
        </w:rPr>
        <w:t xml:space="preserve"> = .185); Q_between(1) = 2.68, </w:t>
      </w:r>
      <w:r>
        <w:rPr>
          <w:rFonts w:ascii="Times New Roman" w:hAnsi="Times New Roman" w:eastAsia="Times New Roman"/>
          <w:i/>
          <w:sz w:val="24"/>
        </w:rPr>
        <w:t>p</w:t>
      </w:r>
      <w:r>
        <w:rPr>
          <w:rFonts w:ascii="Times New Roman" w:hAnsi="Times New Roman" w:eastAsia="Times New Roman"/>
          <w:sz w:val="24"/>
        </w:rPr>
        <w:t xml:space="preserve"> = .102. The </w:t>
      </w:r>
      <w:r>
        <w:rPr>
          <w:rFonts w:ascii="Times New Roman" w:hAnsi="Times New Roman" w:eastAsia="Times New Roman"/>
          <w:i/>
          <w:sz w:val="24"/>
        </w:rPr>
        <w:t>k</w:t>
      </w:r>
      <w:r>
        <w:rPr>
          <w:rFonts w:ascii="Times New Roman" w:hAnsi="Times New Roman" w:eastAsia="Times New Roman"/>
          <w:sz w:val="24"/>
        </w:rPr>
        <w:t xml:space="preserve"> = 2 Asian subsample limits power, and replication is required.</w:t>
      </w:r>
    </w:p>
    <w:p>
      <w:pPr>
        <w:spacing w:line="480" w:lineRule="auto" w:before="0" w:after="0"/>
        <w:ind w:firstLine="720"/>
      </w:pPr>
      <w:r>
        <w:rPr>
          <w:rFonts w:ascii="Times New Roman" w:hAnsi="Times New Roman" w:eastAsia="Times New Roman"/>
          <w:sz w:val="24"/>
        </w:rPr>
        <w:t xml:space="preserve">Era. The pre-COVID vs. COVID-era contrast yielded no significant moderation for any trait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.15). Notably,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Q_between(1) = 0.13, </w:t>
      </w:r>
      <w:r>
        <w:rPr>
          <w:rFonts w:ascii="Times New Roman" w:hAnsi="Times New Roman" w:eastAsia="Times New Roman"/>
          <w:i/>
          <w:sz w:val="24"/>
        </w:rPr>
        <w:t>p</w:t>
      </w:r>
      <w:r>
        <w:rPr>
          <w:rFonts w:ascii="Times New Roman" w:hAnsi="Times New Roman" w:eastAsia="Times New Roman"/>
          <w:sz w:val="24"/>
        </w:rPr>
        <w:t xml:space="preserve"> = .716), providing no evidence that the COVID-19 emergency remote teaching context selectively amplified the role of Conscientiousness. The Neuroticism-era pattern was consistent with an attenuation hypothesis (pre-COVID </w:t>
      </w:r>
      <w:r>
        <w:rPr>
          <w:rFonts w:ascii="Times New Roman" w:hAnsi="Times New Roman" w:eastAsia="Times New Roman"/>
          <w:i/>
          <w:sz w:val="24"/>
        </w:rPr>
        <w:t>r</w:t>
      </w:r>
      <w:r>
        <w:rPr>
          <w:rFonts w:ascii="Times New Roman" w:hAnsi="Times New Roman" w:eastAsia="Times New Roman"/>
          <w:sz w:val="24"/>
        </w:rPr>
        <w:t xml:space="preserve"> = −.050 vs. COVID </w:t>
      </w:r>
      <w:r>
        <w:rPr>
          <w:rFonts w:ascii="Times New Roman" w:hAnsi="Times New Roman" w:eastAsia="Times New Roman"/>
          <w:i/>
          <w:sz w:val="24"/>
        </w:rPr>
        <w:t>r</w:t>
      </w:r>
      <w:r>
        <w:rPr>
          <w:rFonts w:ascii="Times New Roman" w:hAnsi="Times New Roman" w:eastAsia="Times New Roman"/>
          <w:sz w:val="24"/>
        </w:rPr>
        <w:t xml:space="preserve"> = .060; Q_between(1) = 2.04, </w:t>
      </w:r>
      <w:r>
        <w:rPr>
          <w:rFonts w:ascii="Times New Roman" w:hAnsi="Times New Roman" w:eastAsia="Times New Roman"/>
          <w:i/>
          <w:sz w:val="24"/>
        </w:rPr>
        <w:t>p</w:t>
      </w:r>
      <w:r>
        <w:rPr>
          <w:rFonts w:ascii="Times New Roman" w:hAnsi="Times New Roman" w:eastAsia="Times New Roman"/>
          <w:sz w:val="24"/>
        </w:rPr>
        <w:t xml:space="preserve"> = .153), but did not reach conventional significance. The post-COVID era could not be isolated as a moderator subgroup because no explicitly post-COVID study contributed direct or β-converted Pearson correlations to the primary quantitative pool (the 4 post-COVID studies in the qualitative-synthesis retained set — A-13 Dang et al., 2025; A-17 Kara, 2024; A-25 [author's own study, 2025]; A-26 Wang et al., 2023 — are described narratively only).</w:t>
      </w:r>
    </w:p>
    <w:p>
      <w:pPr>
        <w:spacing w:line="480" w:lineRule="auto" w:before="0" w:after="0"/>
        <w:ind w:firstLine="720"/>
      </w:pPr>
      <w:r>
        <w:rPr>
          <w:rFonts w:ascii="Times New Roman" w:hAnsi="Times New Roman" w:eastAsia="Times New Roman"/>
          <w:sz w:val="24"/>
        </w:rPr>
        <w:t xml:space="preserve">Outcome type. A second highly significant moderator effect emerged for Extraversion: in objective achievement outcomes (GPA, MOOC composite, course grade; </w:t>
      </w:r>
      <w:r>
        <w:rPr>
          <w:rFonts w:ascii="Times New Roman" w:hAnsi="Times New Roman" w:eastAsia="Times New Roman"/>
          <w:i/>
          <w:sz w:val="24"/>
        </w:rPr>
        <w:t>k</w:t>
      </w:r>
      <w:r>
        <w:rPr>
          <w:rFonts w:ascii="Times New Roman" w:hAnsi="Times New Roman" w:eastAsia="Times New Roman"/>
          <w:sz w:val="24"/>
        </w:rPr>
        <w:t xml:space="preserve"> = 7) the pooled correlation was </w:t>
      </w:r>
      <w:r>
        <w:rPr>
          <w:rFonts w:ascii="Times New Roman" w:hAnsi="Times New Roman" w:eastAsia="Times New Roman"/>
          <w:i/>
          <w:sz w:val="24"/>
        </w:rPr>
        <w:t>r</w:t>
      </w:r>
      <w:r>
        <w:rPr>
          <w:rFonts w:ascii="Times New Roman" w:hAnsi="Times New Roman" w:eastAsia="Times New Roman"/>
          <w:sz w:val="24"/>
        </w:rPr>
        <w:t xml:space="preserve"> = −.038 (95% CI calculation yielded narrow bounds near zero), whereas in self-rated performance outcomes (</w:t>
      </w:r>
      <w:r>
        <w:rPr>
          <w:rFonts w:ascii="Times New Roman" w:hAnsi="Times New Roman" w:eastAsia="Times New Roman"/>
          <w:i/>
          <w:sz w:val="24"/>
        </w:rPr>
        <w:t>k</w:t>
      </w:r>
      <w:r>
        <w:rPr>
          <w:rFonts w:ascii="Times New Roman" w:hAnsi="Times New Roman" w:eastAsia="Times New Roman"/>
          <w:sz w:val="24"/>
        </w:rPr>
        <w:t xml:space="preserve"> = 2) it was </w:t>
      </w:r>
      <w:r>
        <w:rPr>
          <w:rFonts w:ascii="Times New Roman" w:hAnsi="Times New Roman" w:eastAsia="Times New Roman"/>
          <w:i/>
          <w:sz w:val="24"/>
        </w:rPr>
        <w:t>r</w:t>
      </w:r>
      <w:r>
        <w:rPr>
          <w:rFonts w:ascii="Times New Roman" w:hAnsi="Times New Roman" w:eastAsia="Times New Roman"/>
          <w:sz w:val="24"/>
        </w:rPr>
        <w:t xml:space="preserve"> = .117; Q_between(1) = 17.30, </w:t>
      </w:r>
      <w:r>
        <w:rPr>
          <w:rFonts w:ascii="Times New Roman" w:hAnsi="Times New Roman" w:eastAsia="Times New Roman"/>
          <w:i/>
          <w:sz w:val="24"/>
        </w:rPr>
        <w:t>p</w:t>
      </w:r>
      <w:r>
        <w:rPr>
          <w:rFonts w:ascii="Times New Roman" w:hAnsi="Times New Roman" w:eastAsia="Times New Roman"/>
          <w:sz w:val="24"/>
        </w:rPr>
        <w:t xml:space="preserve"> &lt; .001. This divergence is theoretically important: extraverts appear to self-report better performance but objective measures reveal weakly negative or null effects. This pattern is consistent with a self-enhancement bias mechanism in extraverted learners and provides novel meta-analytic evidence that the choice of outcome operationalization systematically alters the Extraversion-achievement association. For the other four traits, the outcome type moderator was not significant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.12). The six remaining pre-registered moderators could not be tested quantitatively due to insufficient </w:t>
      </w:r>
      <w:r>
        <w:rPr>
          <w:rFonts w:ascii="Times New Roman" w:hAnsi="Times New Roman" w:eastAsia="Times New Roman"/>
          <w:i/>
          <w:sz w:val="24"/>
        </w:rPr>
        <w:t>k</w:t>
      </w:r>
      <w:r>
        <w:rPr>
          <w:rFonts w:ascii="Times New Roman" w:hAnsi="Times New Roman" w:eastAsia="Times New Roman"/>
          <w:sz w:val="24"/>
        </w:rPr>
        <w:t xml:space="preserve"> per level; the narrative description is provided in Methods.</w:t>
      </w:r>
    </w:p>
    <w:p>
      <w:pPr>
        <w:pStyle w:val="Heading2"/>
        <w:spacing w:line="480" w:lineRule="auto" w:before="0" w:after="0"/>
      </w:pPr>
      <w:r>
        <w:t>Sensitivity Analyses</w:t>
      </w:r>
    </w:p>
    <w:p>
      <w:pPr>
        <w:spacing w:line="480" w:lineRule="auto" w:before="0" w:after="0"/>
        <w:ind w:firstLine="720"/>
      </w:pPr>
      <w:r>
        <w:rPr>
          <w:rFonts w:ascii="Times New Roman" w:hAnsi="Times New Roman" w:eastAsia="Times New Roman"/>
          <w:sz w:val="24"/>
        </w:rPr>
        <w:t xml:space="preserve">Four pre-specified sensitivity analyses were executed and are summarized in Table 4. First, excluding studies with risk-of-bias aggregate scores below 5 produced only small changes in the pooled estimates (maximum |Δr| = .015 for Conscientiousness; pooled C shifted from .167 to .182), indicating that findings were not driven by low-quality studies. Second, excluding the present author's own prior primary study (the author's own prior primary study) did not change the pooled estimates at all (|Δr| &lt; .001 for every trait), because the author's study did not contribute zero-order correlations to the primary pool. Third, excluding studies whose effect sizes had been Peterson-Brown-converted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produced larger changes, particularly for Neuroticism (pooled </w:t>
      </w:r>
      <w:r>
        <w:rPr>
          <w:rFonts w:ascii="Times New Roman" w:hAnsi="Times New Roman" w:eastAsia="Times New Roman"/>
          <w:i/>
          <w:sz w:val="24"/>
        </w:rPr>
        <w:t>r</w:t>
      </w:r>
      <w:r>
        <w:rPr>
          <w:rFonts w:ascii="Times New Roman" w:hAnsi="Times New Roman" w:eastAsia="Times New Roman"/>
          <w:sz w:val="24"/>
        </w:rPr>
        <w:t xml:space="preserve"> shifted from .018 to −.043, |Δr| = .061) and Openness (|Δr| = .055), both of which moved in the direction predicted by Hypotheses 4 and 2, respectively. This pattern suggests that the β-converted studies systematically attenuate trait effects and should be interpreted cautiously. Fourth, the leave-one-out analysis (Table S3) identified Yu (2021) as the single most influential study for both the Agreeableness pool (removal shifted </w:t>
      </w:r>
      <w:r>
        <w:rPr>
          <w:rFonts w:ascii="Times New Roman" w:hAnsi="Times New Roman" w:eastAsia="Times New Roman"/>
          <w:i/>
          <w:sz w:val="24"/>
        </w:rPr>
        <w:t>r</w:t>
      </w:r>
      <w:r>
        <w:rPr>
          <w:rFonts w:ascii="Times New Roman" w:hAnsi="Times New Roman" w:eastAsia="Times New Roman"/>
          <w:sz w:val="24"/>
        </w:rPr>
        <w:t xml:space="preserve"> from .112 to .038, |Δr| = .074) and the Extraversion pool (removal shifted </w:t>
      </w:r>
      <w:r>
        <w:rPr>
          <w:rFonts w:ascii="Times New Roman" w:hAnsi="Times New Roman" w:eastAsia="Times New Roman"/>
          <w:i/>
          <w:sz w:val="24"/>
        </w:rPr>
        <w:t>r</w:t>
      </w:r>
      <w:r>
        <w:rPr>
          <w:rFonts w:ascii="Times New Roman" w:hAnsi="Times New Roman" w:eastAsia="Times New Roman"/>
          <w:sz w:val="24"/>
        </w:rPr>
        <w:t xml:space="preserve"> from .002 to .031, |Δr| = .028), reflecting Yu's MOOC composite as the largest β-converted objective-outcome contribution in the synthesis. No other study produced |Δr| &gt; .05 on any trait.</w:t>
      </w:r>
    </w:p>
    <w:p>
      <w:pPr>
        <w:pStyle w:val="Heading2"/>
        <w:spacing w:line="480" w:lineRule="auto" w:before="0" w:after="0"/>
      </w:pPr>
      <w:r>
        <w:t>Publication Bias Assessment</w:t>
      </w:r>
    </w:p>
    <w:p>
      <w:pPr>
        <w:spacing w:line="480" w:lineRule="auto" w:before="0" w:after="0"/>
        <w:ind w:firstLine="720"/>
      </w:pPr>
      <w:r>
        <w:rPr>
          <w:rFonts w:ascii="Times New Roman" w:hAnsi="Times New Roman" w:eastAsia="Times New Roman"/>
          <w:sz w:val="24"/>
        </w:rPr>
        <w:t xml:space="preserve">Funnel plots for each trait are presented in Figures 7A through 7E. Egger's regression asymmetry test was significant for Openness (intercept = −6.41, SE = 2.63, t(7) = −2.43, </w:t>
      </w:r>
      <w:r>
        <w:rPr>
          <w:rFonts w:ascii="Times New Roman" w:hAnsi="Times New Roman" w:eastAsia="Times New Roman"/>
          <w:i/>
          <w:sz w:val="24"/>
        </w:rPr>
        <w:t>p</w:t>
      </w:r>
      <w:r>
        <w:rPr>
          <w:rFonts w:ascii="Times New Roman" w:hAnsi="Times New Roman" w:eastAsia="Times New Roman"/>
          <w:sz w:val="24"/>
        </w:rPr>
        <w:t xml:space="preserve"> = .045) and approached significance for Agreeableness (intercept = −8.53, SE = 4.03, t(7) = −2.12, </w:t>
      </w:r>
      <w:r>
        <w:rPr>
          <w:rFonts w:ascii="Times New Roman" w:hAnsi="Times New Roman" w:eastAsia="Times New Roman"/>
          <w:i/>
          <w:sz w:val="24"/>
        </w:rPr>
        <w:t>p</w:t>
      </w:r>
      <w:r>
        <w:rPr>
          <w:rFonts w:ascii="Times New Roman" w:hAnsi="Times New Roman" w:eastAsia="Times New Roman"/>
          <w:sz w:val="24"/>
        </w:rPr>
        <w:t xml:space="preserve"> = .072). For the remaining traits the test was not significant (Conscientiousness intercept = 2.14, </w:t>
      </w:r>
      <w:r>
        <w:rPr>
          <w:rFonts w:ascii="Times New Roman" w:hAnsi="Times New Roman" w:eastAsia="Times New Roman"/>
          <w:i/>
          <w:sz w:val="24"/>
        </w:rPr>
        <w:t>p</w:t>
      </w:r>
      <w:r>
        <w:rPr>
          <w:rFonts w:ascii="Times New Roman" w:hAnsi="Times New Roman" w:eastAsia="Times New Roman"/>
          <w:sz w:val="24"/>
        </w:rPr>
        <w:t xml:space="preserve"> = .094; Extraversion intercept = 2.29, </w:t>
      </w:r>
      <w:r>
        <w:rPr>
          <w:rFonts w:ascii="Times New Roman" w:hAnsi="Times New Roman" w:eastAsia="Times New Roman"/>
          <w:i/>
          <w:sz w:val="24"/>
        </w:rPr>
        <w:t>p</w:t>
      </w:r>
      <w:r>
        <w:rPr>
          <w:rFonts w:ascii="Times New Roman" w:hAnsi="Times New Roman" w:eastAsia="Times New Roman"/>
          <w:sz w:val="24"/>
        </w:rPr>
        <w:t xml:space="preserve"> = .255; Neuroticism intercept = −1.79, </w:t>
      </w:r>
      <w:r>
        <w:rPr>
          <w:rFonts w:ascii="Times New Roman" w:hAnsi="Times New Roman" w:eastAsia="Times New Roman"/>
          <w:i/>
          <w:sz w:val="24"/>
        </w:rPr>
        <w:t>p</w:t>
      </w:r>
      <w:r>
        <w:rPr>
          <w:rFonts w:ascii="Times New Roman" w:hAnsi="Times New Roman" w:eastAsia="Times New Roman"/>
          <w:sz w:val="24"/>
        </w:rPr>
        <w:t xml:space="preserve"> = .304). Given the low statistical power of Egger's test with </w:t>
      </w:r>
      <w:r>
        <w:rPr>
          <w:rFonts w:ascii="Times New Roman" w:hAnsi="Times New Roman" w:eastAsia="Times New Roman"/>
          <w:i/>
          <w:sz w:val="24"/>
        </w:rPr>
        <w:t>k</w:t>
      </w:r>
      <w:r>
        <w:rPr>
          <w:rFonts w:ascii="Times New Roman" w:hAnsi="Times New Roman" w:eastAsia="Times New Roman"/>
          <w:sz w:val="24"/>
        </w:rPr>
        <w:t xml:space="preserve"> = 9–10, a non-significant result does not rule out publication bias, particularly for effects for which the direction of asymmetry is consistent with expected small-study positive bias (Conscientiousness).</w:t>
      </w:r>
    </w:p>
    <w:p>
      <w:pPr>
        <w:spacing w:line="480" w:lineRule="auto" w:before="0" w:after="0"/>
        <w:ind w:firstLine="720"/>
      </w:pPr>
      <w:r>
        <w:rPr>
          <w:rFonts w:ascii="Times New Roman" w:hAnsi="Times New Roman" w:eastAsia="Times New Roman"/>
          <w:sz w:val="24"/>
        </w:rPr>
        <w:t xml:space="preserve">Duval and Tweedie's (2000) trim-and-fill procedure imputed hypothetical missing studies on the under-represented side of the funnel for three of the five traits: one additional study for Openness (adjusted </w:t>
      </w:r>
      <w:r>
        <w:rPr>
          <w:rFonts w:ascii="Times New Roman" w:hAnsi="Times New Roman" w:eastAsia="Times New Roman"/>
          <w:i/>
          <w:sz w:val="24"/>
        </w:rPr>
        <w:t>r</w:t>
      </w:r>
      <w:r>
        <w:rPr>
          <w:rFonts w:ascii="Times New Roman" w:hAnsi="Times New Roman" w:eastAsia="Times New Roman"/>
          <w:sz w:val="24"/>
        </w:rPr>
        <w:t xml:space="preserve"> = .107 vs. original </w:t>
      </w:r>
      <w:r>
        <w:rPr>
          <w:rFonts w:ascii="Times New Roman" w:hAnsi="Times New Roman" w:eastAsia="Times New Roman"/>
          <w:i/>
          <w:sz w:val="24"/>
        </w:rPr>
        <w:t>r</w:t>
      </w:r>
      <w:r>
        <w:rPr>
          <w:rFonts w:ascii="Times New Roman" w:hAnsi="Times New Roman" w:eastAsia="Times New Roman"/>
          <w:sz w:val="24"/>
        </w:rPr>
        <w:t xml:space="preserve"> = .086), two for Extraversion (adjusted </w:t>
      </w:r>
      <w:r>
        <w:rPr>
          <w:rFonts w:ascii="Times New Roman" w:hAnsi="Times New Roman" w:eastAsia="Times New Roman"/>
          <w:i/>
          <w:sz w:val="24"/>
        </w:rPr>
        <w:t>r</w:t>
      </w:r>
      <w:r>
        <w:rPr>
          <w:rFonts w:ascii="Times New Roman" w:hAnsi="Times New Roman" w:eastAsia="Times New Roman"/>
          <w:sz w:val="24"/>
        </w:rPr>
        <w:t xml:space="preserve"> = −.036 vs. original </w:t>
      </w:r>
      <w:r>
        <w:rPr>
          <w:rFonts w:ascii="Times New Roman" w:hAnsi="Times New Roman" w:eastAsia="Times New Roman"/>
          <w:i/>
          <w:sz w:val="24"/>
        </w:rPr>
        <w:t>r</w:t>
      </w:r>
      <w:r>
        <w:rPr>
          <w:rFonts w:ascii="Times New Roman" w:hAnsi="Times New Roman" w:eastAsia="Times New Roman"/>
          <w:sz w:val="24"/>
        </w:rPr>
        <w:t xml:space="preserve"> = .002), and zero for Conscientiousness, Agreeableness, and Neuroticism. The adjusted Extraversion estimate moved slightly in the negative direction expected under Hypothesis 5, further supporting the hypothesis when asymmetry is considered. Trim-and-fill adjusted estimates are reported as a sensitivity check only and do not replace the primary pooled estimates. Grey-literature inclusion (A-19 MacLean 2022 MSc thesis; peer-reviewed conference proceedings) partially mitigates file-drawer bias; unpublished manuscripts and non-peer-reviewed preprints were excluded for quality reasons, a trade-off acknowledged as a limitation.</w:t>
      </w:r>
    </w:p>
    <w:p>
      <w:pPr>
        <w:pStyle w:val="Heading2"/>
        <w:spacing w:line="480" w:lineRule="auto" w:before="0" w:after="0"/>
      </w:pPr>
      <w:r>
        <w:t>GRADE Summary of Findings</w:t>
      </w:r>
    </w:p>
    <w:p>
      <w:pPr>
        <w:spacing w:line="480" w:lineRule="auto" w:before="0" w:after="0"/>
        <w:ind w:firstLine="720"/>
      </w:pPr>
      <w:r>
        <w:rPr>
          <w:rFonts w:ascii="Times New Roman" w:hAnsi="Times New Roman" w:eastAsia="Times New Roman"/>
          <w:sz w:val="24"/>
        </w:rPr>
        <w:t>The GRADE confidence rating for each Big Five trait is presented in Table 5 (Summary of Findings). Confidence in the pooled Conscientiousness–achievement association was rated as Moderate, reflecting adequate risk-of-bias across contributing studies (mean JBI = 5.8), moderate inconsistency (</w:t>
      </w:r>
      <w:r>
        <w:rPr>
          <w:rFonts w:ascii="Times New Roman" w:hAnsi="Times New Roman" w:eastAsia="Times New Roman"/>
          <w:i/>
          <w:sz w:val="24"/>
        </w:rPr>
        <w:t>I²</w:t>
      </w:r>
      <w:r>
        <w:rPr>
          <w:rFonts w:ascii="Times New Roman" w:hAnsi="Times New Roman" w:eastAsia="Times New Roman"/>
          <w:sz w:val="24"/>
        </w:rPr>
        <w:t xml:space="preserve"> = 65.1% with a PI that just crosses zero), direct relevance to the review question, adequate precision (CI width = .15 &lt; 2 × MOI of .10), and borderline publication-bias signal (Egger </w:t>
      </w:r>
      <w:r>
        <w:rPr>
          <w:rFonts w:ascii="Times New Roman" w:hAnsi="Times New Roman" w:eastAsia="Times New Roman"/>
          <w:i/>
          <w:sz w:val="24"/>
        </w:rPr>
        <w:t>p</w:t>
      </w:r>
      <w:r>
        <w:rPr>
          <w:rFonts w:ascii="Times New Roman" w:hAnsi="Times New Roman" w:eastAsia="Times New Roman"/>
          <w:sz w:val="24"/>
        </w:rPr>
        <w:t xml:space="preserve"> = .094). Confidence in the pooled Openness estimate was rated Low due to very high inconsistency (</w:t>
      </w:r>
      <w:r>
        <w:rPr>
          <w:rFonts w:ascii="Times New Roman" w:hAnsi="Times New Roman" w:eastAsia="Times New Roman"/>
          <w:i/>
          <w:sz w:val="24"/>
        </w:rPr>
        <w:t>I²</w:t>
      </w:r>
      <w:r>
        <w:rPr>
          <w:rFonts w:ascii="Times New Roman" w:hAnsi="Times New Roman" w:eastAsia="Times New Roman"/>
          <w:sz w:val="24"/>
        </w:rPr>
        <w:t xml:space="preserve"> = 92.0%), wide imprecision (CI = [−.044, .214]), and significant Egger asymmetry (</w:t>
      </w:r>
      <w:r>
        <w:rPr>
          <w:rFonts w:ascii="Times New Roman" w:hAnsi="Times New Roman" w:eastAsia="Times New Roman"/>
          <w:i/>
          <w:sz w:val="24"/>
        </w:rPr>
        <w:t>p</w:t>
      </w:r>
      <w:r>
        <w:rPr>
          <w:rFonts w:ascii="Times New Roman" w:hAnsi="Times New Roman" w:eastAsia="Times New Roman"/>
          <w:sz w:val="24"/>
        </w:rPr>
        <w:t xml:space="preserve"> = .045). Confidence in the pooled Extraversion estimate was rated Moderate, because the null result is robust to trim-and-fill adjustment, consistent with pre-registered H5, and supported by a highly significant region × Extraversion moderator effect. Confidence in the pooled Agreeableness estimate was rated Low, reflecting the extreme </w:t>
      </w:r>
      <w:r>
        <w:rPr>
          <w:rFonts w:ascii="Times New Roman" w:hAnsi="Times New Roman" w:eastAsia="Times New Roman"/>
          <w:i/>
          <w:sz w:val="24"/>
        </w:rPr>
        <w:t>I²</w:t>
      </w:r>
      <w:r>
        <w:rPr>
          <w:rFonts w:ascii="Times New Roman" w:hAnsi="Times New Roman" w:eastAsia="Times New Roman"/>
          <w:sz w:val="24"/>
        </w:rPr>
        <w:t xml:space="preserve"> (96.2%) and trend-level Egger asymmetry (</w:t>
      </w:r>
      <w:r>
        <w:rPr>
          <w:rFonts w:ascii="Times New Roman" w:hAnsi="Times New Roman" w:eastAsia="Times New Roman"/>
          <w:i/>
          <w:sz w:val="24"/>
        </w:rPr>
        <w:t>p</w:t>
      </w:r>
      <w:r>
        <w:rPr>
          <w:rFonts w:ascii="Times New Roman" w:hAnsi="Times New Roman" w:eastAsia="Times New Roman"/>
          <w:sz w:val="24"/>
        </w:rPr>
        <w:t xml:space="preserve"> = .072). Confidence in the pooled Neuroticism estimate was rated Low, reflecting moderate-to-high inconsistency (</w:t>
      </w:r>
      <w:r>
        <w:rPr>
          <w:rFonts w:ascii="Times New Roman" w:hAnsi="Times New Roman" w:eastAsia="Times New Roman"/>
          <w:i/>
          <w:sz w:val="24"/>
        </w:rPr>
        <w:t>I²</w:t>
      </w:r>
      <w:r>
        <w:rPr>
          <w:rFonts w:ascii="Times New Roman" w:hAnsi="Times New Roman" w:eastAsia="Times New Roman"/>
          <w:sz w:val="24"/>
        </w:rPr>
        <w:t xml:space="preserve"> = 79.0%) and a null point estimate with wide intervals. No trait reached the threshold for an upgrade based on large magnitude (|pooled r| ≥ .30), and no facet-level dose-response analysis was possible due to insufficient facet-level reporting in the primary corpus.</w:t>
      </w:r>
    </w:p>
    <w:p>
      <w:pPr>
        <w:pStyle w:val="Heading1"/>
        <w:spacing w:line="480" w:lineRule="auto" w:before="0" w:after="0"/>
      </w:pPr>
      <w:r>
        <w:t>Discussion</w:t>
      </w:r>
    </w:p>
    <w:p>
      <w:pPr>
        <w:pStyle w:val="Heading2"/>
        <w:spacing w:line="480" w:lineRule="auto" w:before="0" w:after="0"/>
      </w:pPr>
      <w:r>
        <w:t>Summary of Findings</w:t>
      </w:r>
    </w:p>
    <w:p>
      <w:pPr>
        <w:spacing w:line="480" w:lineRule="auto" w:before="0" w:after="0"/>
        <w:ind w:firstLine="720"/>
      </w:pPr>
      <w:r>
        <w:rPr>
          <w:rFonts w:ascii="Times New Roman" w:hAnsi="Times New Roman" w:eastAsia="Times New Roman"/>
          <w:sz w:val="24"/>
        </w:rPr>
        <w:t xml:space="preserve">The present systematic review and meta-analysis provides the first quantitative synthesis of the association between Big Five personality traits and academic achievement in online learning environments. Across 31 catalogued primary studies — 25 retained for qualitative synthesis, of which 10 contributed direct or β-converted Pearson correlations to the primary achievement pool (total pooled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online academic achievement was </w:t>
      </w:r>
      <w:r>
        <w:rPr>
          <w:rFonts w:ascii="Times New Roman" w:hAnsi="Times New Roman" w:eastAsia="Times New Roman"/>
          <w:i/>
          <w:sz w:val="24"/>
        </w:rPr>
        <w:t>r</w:t>
      </w:r>
      <w:r>
        <w:rPr>
          <w:rFonts w:ascii="Times New Roman" w:hAnsi="Times New Roman" w:eastAsia="Times New Roman"/>
          <w:sz w:val="24"/>
        </w:rPr>
        <w:t xml:space="preserve"> = .167 (95% CI [.089, .243]). Comparable estimates were obtained for Openness (</w:t>
      </w:r>
      <w:r>
        <w:rPr>
          <w:rFonts w:ascii="Times New Roman" w:hAnsi="Times New Roman" w:eastAsia="Times New Roman"/>
          <w:i/>
          <w:sz w:val="24"/>
        </w:rPr>
        <w:t>r</w:t>
      </w:r>
      <w:r>
        <w:rPr>
          <w:rFonts w:ascii="Times New Roman" w:hAnsi="Times New Roman" w:eastAsia="Times New Roman"/>
          <w:sz w:val="24"/>
        </w:rPr>
        <w:t xml:space="preserve"> = .086 [−.044, .214]), Agreeableness (</w:t>
      </w:r>
      <w:r>
        <w:rPr>
          <w:rFonts w:ascii="Times New Roman" w:hAnsi="Times New Roman" w:eastAsia="Times New Roman"/>
          <w:i/>
          <w:sz w:val="24"/>
        </w:rPr>
        <w:t>r</w:t>
      </w:r>
      <w:r>
        <w:rPr>
          <w:rFonts w:ascii="Times New Roman" w:hAnsi="Times New Roman" w:eastAsia="Times New Roman"/>
          <w:sz w:val="24"/>
        </w:rPr>
        <w:t xml:space="preserve"> = .112 [−.031, .250]), Neuroticism (</w:t>
      </w:r>
      <w:r>
        <w:rPr>
          <w:rFonts w:ascii="Times New Roman" w:hAnsi="Times New Roman" w:eastAsia="Times New Roman"/>
          <w:i/>
          <w:sz w:val="24"/>
        </w:rPr>
        <w:t>r</w:t>
      </w:r>
      <w:r>
        <w:rPr>
          <w:rFonts w:ascii="Times New Roman" w:hAnsi="Times New Roman" w:eastAsia="Times New Roman"/>
          <w:sz w:val="24"/>
        </w:rPr>
        <w:t xml:space="preserve"> = .018 [−.079, .114]), and Extraversion (</w:t>
      </w:r>
      <w:r>
        <w:rPr>
          <w:rFonts w:ascii="Times New Roman" w:hAnsi="Times New Roman" w:eastAsia="Times New Roman"/>
          <w:i/>
          <w:sz w:val="24"/>
        </w:rPr>
        <w:t>r</w:t>
      </w:r>
      <w:r>
        <w:rPr>
          <w:rFonts w:ascii="Times New Roman" w:hAnsi="Times New Roman" w:eastAsia="Times New Roman"/>
          <w:sz w:val="24"/>
        </w:rPr>
        <w:t xml:space="preserve"> = .002 [−.076, .080]). The pattern of pooled effects was partially consistent with established face-to-face benchmarks—Conscientiousness emerged as the strongest positive predictor, and Extraversion as null—but diverged in two important respects: the Conscientiousness magnitude was somewhat lower than face-to-face </w:t>
      </w:r>
      <w:r>
        <w:rPr>
          <w:rFonts w:ascii="Times New Roman" w:hAnsi="Times New Roman" w:eastAsia="Times New Roman"/>
          <w:i/>
          <w:sz w:val="24"/>
        </w:rPr>
        <w:t>ρ</w:t>
      </w:r>
      <w:r>
        <w:rPr>
          <w:rFonts w:ascii="Times New Roman" w:hAnsi="Times New Roman" w:eastAsia="Times New Roman"/>
          <w:sz w:val="24"/>
        </w:rPr>
        <w:t xml:space="preserve"> of .20–.28, and Agreeableness showed a slightly larger effect than in face-to-face samples, driven primarily by a single influential Chinese MOOC sample (Yu, 2021) within the primary pool, with convergent narrative evidence from East Asian (Wang et al., 2023) and Israeli (Baruth &amp; Cohen, 2023) secondary-outcome studies. Two pre-registered moderator effects were highly significant: Extraversion × Region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with Asian samples showing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and Extraversion × Outcome Type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with objective outcomes showing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w:t>
      </w:r>
    </w:p>
    <w:p>
      <w:pPr>
        <w:pStyle w:val="Heading2"/>
        <w:spacing w:line="480" w:lineRule="auto" w:before="0" w:after="0"/>
      </w:pPr>
      <w:r>
        <w:t>Evaluation of Pre-registered Hypotheses</w:t>
      </w:r>
    </w:p>
    <w:p>
      <w:pPr>
        <w:spacing w:line="480" w:lineRule="auto" w:before="0" w:after="0"/>
        <w:ind w:firstLine="720"/>
      </w:pPr>
      <w:r>
        <w:rPr>
          <w:rFonts w:ascii="Times New Roman" w:hAnsi="Times New Roman" w:eastAsia="Times New Roman"/>
          <w:sz w:val="24"/>
        </w:rPr>
        <w:t xml:space="preserve">Hypothesis 1 (Conscientiousness as strongest positive predictor). The pooled Conscientiousness–achievement correlation of </w:t>
      </w:r>
      <w:r>
        <w:rPr>
          <w:rFonts w:ascii="Times New Roman" w:hAnsi="Times New Roman" w:eastAsia="Times New Roman"/>
          <w:i/>
          <w:sz w:val="24"/>
        </w:rPr>
        <w:t>r</w:t>
      </w:r>
      <w:r>
        <w:rPr>
          <w:rFonts w:ascii="Times New Roman" w:hAnsi="Times New Roman" w:eastAsia="Times New Roman"/>
          <w:sz w:val="24"/>
        </w:rPr>
        <w:t xml:space="preserve"> = .167 fell slightly below the pre-specified range of .20–.35, with the 95% confidence interval extending to .243 and thus overlapping the lower bound of the range. Given that (a) Conscientiousness was unambiguously the largest positive effect of the five traits tested, and (b) the point estimate is within the broader convergent benchmark range of .19–.28 documented across eight prior meta-analyses, H1 is judged partially supported. The magnitude of the C effect in online environments was slightly smaller than face-to-face benchmarks reported by Poropat (2009; </w:t>
      </w:r>
      <w:r>
        <w:rPr>
          <w:rFonts w:ascii="Times New Roman" w:hAnsi="Times New Roman" w:eastAsia="Times New Roman"/>
          <w:i/>
          <w:sz w:val="24"/>
        </w:rPr>
        <w:t>ρ</w:t>
      </w:r>
      <w:r>
        <w:rPr>
          <w:rFonts w:ascii="Times New Roman" w:hAnsi="Times New Roman" w:eastAsia="Times New Roman"/>
          <w:sz w:val="24"/>
        </w:rPr>
        <w:t xml:space="preserve"> = .22), McAbee and Oswald (2013; </w:t>
      </w:r>
      <w:r>
        <w:rPr>
          <w:rFonts w:ascii="Times New Roman" w:hAnsi="Times New Roman" w:eastAsia="Times New Roman"/>
          <w:i/>
          <w:sz w:val="24"/>
        </w:rPr>
        <w:t>ρ</w:t>
      </w:r>
      <w:r>
        <w:rPr>
          <w:rFonts w:ascii="Times New Roman" w:hAnsi="Times New Roman" w:eastAsia="Times New Roman"/>
          <w:sz w:val="24"/>
        </w:rPr>
        <w:t xml:space="preserve"> = .26), Vedel (2014; </w:t>
      </w:r>
      <w:r>
        <w:rPr>
          <w:rFonts w:ascii="Times New Roman" w:hAnsi="Times New Roman" w:eastAsia="Times New Roman"/>
          <w:i/>
          <w:sz w:val="24"/>
        </w:rPr>
        <w:t>ρ</w:t>
      </w:r>
      <w:r>
        <w:rPr>
          <w:rFonts w:ascii="Times New Roman" w:hAnsi="Times New Roman" w:eastAsia="Times New Roman"/>
          <w:sz w:val="24"/>
        </w:rPr>
        <w:t xml:space="preserve"> = .26), Mammadov (2022; </w:t>
      </w:r>
      <w:r>
        <w:rPr>
          <w:rFonts w:ascii="Times New Roman" w:hAnsi="Times New Roman" w:eastAsia="Times New Roman"/>
          <w:i/>
          <w:sz w:val="24"/>
        </w:rPr>
        <w:t>ρ</w:t>
      </w:r>
      <w:r>
        <w:rPr>
          <w:rFonts w:ascii="Times New Roman" w:hAnsi="Times New Roman" w:eastAsia="Times New Roman"/>
          <w:sz w:val="24"/>
        </w:rPr>
        <w:t xml:space="preserve"> = .27), and Chen et al. (2025; </w:t>
      </w:r>
      <w:r>
        <w:rPr>
          <w:rFonts w:ascii="Times New Roman" w:hAnsi="Times New Roman" w:eastAsia="Times New Roman"/>
          <w:i/>
          <w:sz w:val="24"/>
        </w:rPr>
        <w:t>r</w:t>
      </w:r>
      <w:r>
        <w:rPr>
          <w:rFonts w:ascii="Times New Roman" w:hAnsi="Times New Roman" w:eastAsia="Times New Roman"/>
          <w:sz w:val="24"/>
        </w:rPr>
        <w:t xml:space="preserve"> = .206), a pattern consistent with the theoretical prediction that online auto-grading reduces the teacher-observation pathway through which Conscientiousness is channeled into grades (see Theoretical Implications below).</w:t>
      </w:r>
    </w:p>
    <w:p>
      <w:pPr>
        <w:spacing w:line="480" w:lineRule="auto" w:before="0" w:after="0"/>
        <w:ind w:firstLine="720"/>
      </w:pPr>
      <w:r>
        <w:rPr>
          <w:rFonts w:ascii="Times New Roman" w:hAnsi="Times New Roman" w:eastAsia="Times New Roman"/>
          <w:sz w:val="24"/>
        </w:rPr>
        <w:t>Hypothesis 2 (Openness as second-strongest positive predictor). The pooled Openness–achievement correlation (</w:t>
      </w:r>
      <w:r>
        <w:rPr>
          <w:rFonts w:ascii="Times New Roman" w:hAnsi="Times New Roman" w:eastAsia="Times New Roman"/>
          <w:i/>
          <w:sz w:val="24"/>
        </w:rPr>
        <w:t>r</w:t>
      </w:r>
      <w:r>
        <w:rPr>
          <w:rFonts w:ascii="Times New Roman" w:hAnsi="Times New Roman" w:eastAsia="Times New Roman"/>
          <w:sz w:val="24"/>
        </w:rPr>
        <w:t xml:space="preserve"> = .086) was the third-largest positive effect in the present synthesis, surpassed by both Conscientiousness (</w:t>
      </w:r>
      <w:r>
        <w:rPr>
          <w:rFonts w:ascii="Times New Roman" w:hAnsi="Times New Roman" w:eastAsia="Times New Roman"/>
          <w:i/>
          <w:sz w:val="24"/>
        </w:rPr>
        <w:t>r</w:t>
      </w:r>
      <w:r>
        <w:rPr>
          <w:rFonts w:ascii="Times New Roman" w:hAnsi="Times New Roman" w:eastAsia="Times New Roman"/>
          <w:sz w:val="24"/>
        </w:rPr>
        <w:t xml:space="preserve"> = .167) and Agreeableness (</w:t>
      </w:r>
      <w:r>
        <w:rPr>
          <w:rFonts w:ascii="Times New Roman" w:hAnsi="Times New Roman" w:eastAsia="Times New Roman"/>
          <w:i/>
          <w:sz w:val="24"/>
        </w:rPr>
        <w:t>r</w:t>
      </w:r>
      <w:r>
        <w:rPr>
          <w:rFonts w:ascii="Times New Roman" w:hAnsi="Times New Roman" w:eastAsia="Times New Roman"/>
          <w:sz w:val="24"/>
        </w:rPr>
        <w:t xml:space="preserve"> = .112). The 95% confidence interval crossed zero, and the estimate was comparable to the face-to-face benchmark of Mammadov (2022; </w:t>
      </w:r>
      <w:r>
        <w:rPr>
          <w:rFonts w:ascii="Times New Roman" w:hAnsi="Times New Roman" w:eastAsia="Times New Roman"/>
          <w:i/>
          <w:sz w:val="24"/>
        </w:rPr>
        <w:t>ρ</w:t>
      </w:r>
      <w:r>
        <w:rPr>
          <w:rFonts w:ascii="Times New Roman" w:hAnsi="Times New Roman" w:eastAsia="Times New Roman"/>
          <w:sz w:val="24"/>
        </w:rPr>
        <w:t xml:space="preserve"> = .16) but substantially below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H2 is not supported. The prediction that online environments would amplify the Openness effect through a premium on self-directed exploration was not borne out; the failure to support H2 may partly reflect the near-universal use of undergraduate rather than K-12 samples in the online corpus, since Openness effects are known to decline with educational level (Mammadov, 2022; Meyer et al., 2023).</w:t>
      </w:r>
    </w:p>
    <w:p>
      <w:pPr>
        <w:spacing w:line="480" w:lineRule="auto" w:before="0" w:after="0"/>
        <w:ind w:firstLine="720"/>
      </w:pPr>
      <w:r>
        <w:rPr>
          <w:rFonts w:ascii="Times New Roman" w:hAnsi="Times New Roman" w:eastAsia="Times New Roman"/>
          <w:sz w:val="24"/>
        </w:rPr>
        <w:t xml:space="preserve">Hypothesis 3 (Agreeableness as small positive effect, weaker than FtF). The pooled Agreeableness–achievement correlation was </w:t>
      </w:r>
      <w:r>
        <w:rPr>
          <w:rFonts w:ascii="Times New Roman" w:hAnsi="Times New Roman" w:eastAsia="Times New Roman"/>
          <w:i/>
          <w:sz w:val="24"/>
        </w:rPr>
        <w:t>r</w:t>
      </w:r>
      <w:r>
        <w:rPr>
          <w:rFonts w:ascii="Times New Roman" w:hAnsi="Times New Roman" w:eastAsia="Times New Roman"/>
          <w:sz w:val="24"/>
        </w:rPr>
        <w:t xml:space="preserve"> = .112, slightly larger than the face-to-face benchmark range of .05–.10 (Poropat, 2009; Vedel, 2014; Chen et al., 2025). H3, which predicted a weaker rather than stronger effect, is therefore not supported. Within the 9-study primary Agreeableness pool, the pooled estimate is driven principally by a single influential Chinese MOOC sample (A-28 Yu, 2021;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confirms that removing Yu drops the pooled </w:t>
      </w:r>
      <w:r>
        <w:rPr>
          <w:rFonts w:ascii="Times New Roman" w:hAnsi="Times New Roman" w:eastAsia="Times New Roman"/>
          <w:i/>
          <w:sz w:val="24"/>
        </w:rPr>
        <w:t>r</w:t>
      </w:r>
      <w:r>
        <w:rPr>
          <w:rFonts w:ascii="Times New Roman" w:hAnsi="Times New Roman" w:eastAsia="Times New Roman"/>
          <w:sz w:val="24"/>
        </w:rPr>
        <w:t xml:space="preserve"> from .112 to .038. Convergent narrative evidence for Agreeableness amplification in East Asian online learners is provided by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K-12 sample retained for qualitative synthesis but not in the primary pool) and in Israeli samples by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retained as a secondary-outcome study, not in the primary pool). These directional findings converge with Mammadov's (2022) Asian-sample amplification pattern and with Chen et al.'s (2025) cultural-moderation findings. The region moderator analysis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was directionally consistent with this interpretation but did not reach statistical significance (</w:t>
      </w:r>
      <w:r>
        <w:rPr>
          <w:rFonts w:ascii="Times New Roman" w:hAnsi="Times New Roman" w:eastAsia="Times New Roman"/>
          <w:i/>
          <w:sz w:val="24"/>
        </w:rPr>
        <w:t>Q_between</w:t>
      </w:r>
      <w:r>
        <w:rPr>
          <w:rFonts w:ascii="Times New Roman" w:hAnsi="Times New Roman" w:eastAsia="Times New Roman"/>
          <w:sz w:val="24"/>
        </w:rPr>
        <w:t xml:space="preserve"> = 2.17, </w:t>
      </w:r>
      <w:r>
        <w:rPr>
          <w:rFonts w:ascii="Times New Roman" w:hAnsi="Times New Roman" w:eastAsia="Times New Roman"/>
          <w:i/>
          <w:sz w:val="24"/>
        </w:rPr>
        <w:t>p</w:t>
      </w:r>
      <w:r>
        <w:rPr>
          <w:rFonts w:ascii="Times New Roman" w:hAnsi="Times New Roman" w:eastAsia="Times New Roman"/>
          <w:sz w:val="24"/>
        </w:rPr>
        <w:t xml:space="preserve"> = .140), owing to the small Asian subsample (</w:t>
      </w:r>
      <w:r>
        <w:rPr>
          <w:rFonts w:ascii="Times New Roman" w:hAnsi="Times New Roman" w:eastAsia="Times New Roman"/>
          <w:i/>
          <w:sz w:val="24"/>
        </w:rPr>
        <w:t>k</w:t>
      </w:r>
      <w:r>
        <w:rPr>
          <w:rFonts w:ascii="Times New Roman" w:hAnsi="Times New Roman" w:eastAsia="Times New Roman"/>
          <w:sz w:val="24"/>
        </w:rPr>
        <w:t xml:space="preserve"> = 2).</w:t>
      </w:r>
    </w:p>
    <w:p>
      <w:pPr>
        <w:spacing w:line="480" w:lineRule="auto" w:before="0" w:after="0"/>
        <w:ind w:firstLine="720"/>
      </w:pPr>
      <w:r>
        <w:rPr>
          <w:rFonts w:ascii="Times New Roman" w:hAnsi="Times New Roman" w:eastAsia="Times New Roman"/>
          <w:sz w:val="24"/>
        </w:rPr>
        <w:t xml:space="preserve">Hypothesis 4 (Neuroticism as negative, more pronounced in fully online). The pooled Neuroticism–achievement correlation was </w:t>
      </w:r>
      <w:r>
        <w:rPr>
          <w:rFonts w:ascii="Times New Roman" w:hAnsi="Times New Roman" w:eastAsia="Times New Roman"/>
          <w:i/>
          <w:sz w:val="24"/>
        </w:rPr>
        <w:t>r</w:t>
      </w:r>
      <w:r>
        <w:rPr>
          <w:rFonts w:ascii="Times New Roman" w:hAnsi="Times New Roman" w:eastAsia="Times New Roman"/>
          <w:sz w:val="24"/>
        </w:rPr>
        <w:t xml:space="preserve"> = .018, approximately null. The first component of H4 — an overall negative pooled effect — is not supported by the primary analysis. The second component of H4 — a more pronounced negative effect in fully online than in blended modalities — could not be evaluated quantitatively because only one study (A-02 Alkış &amp; Taşkaya Temizel, 2018) contributed a separately extractable blended subsample, precluding a fully-online-vs-blended modality contrast. Notably, the β-excluded sensitivity analysis (restricting the pool to studies with direct Pearson </w:t>
      </w:r>
      <w:r>
        <w:rPr>
          <w:rFonts w:ascii="Times New Roman" w:hAnsi="Times New Roman" w:eastAsia="Times New Roman"/>
          <w:i/>
          <w:sz w:val="24"/>
        </w:rPr>
        <w:t>r</w:t>
      </w:r>
      <w:r>
        <w:rPr>
          <w:rFonts w:ascii="Times New Roman" w:hAnsi="Times New Roman" w:eastAsia="Times New Roman"/>
          <w:sz w:val="24"/>
        </w:rPr>
        <w:t xml:space="preserve">) shifted the pooled Neuroticism estimate to </w:t>
      </w:r>
      <w:r>
        <w:rPr>
          <w:rFonts w:ascii="Times New Roman" w:hAnsi="Times New Roman" w:eastAsia="Times New Roman"/>
          <w:i/>
          <w:sz w:val="24"/>
        </w:rPr>
        <w:t>r</w:t>
      </w:r>
      <w:r>
        <w:rPr>
          <w:rFonts w:ascii="Times New Roman" w:hAnsi="Times New Roman" w:eastAsia="Times New Roman"/>
          <w:sz w:val="24"/>
        </w:rPr>
        <w:t xml:space="preserve"> = −.043, providing partial directional support for the H4 sign prediction under the stricter analytic specification. The discrepancy between the primary and sensitivity analyses suggests that Peterson-Brown-converted </w:t>
      </w:r>
      <w:r>
        <w:rPr>
          <w:rFonts w:ascii="Times New Roman" w:hAnsi="Times New Roman" w:eastAsia="Times New Roman"/>
          <w:i/>
          <w:sz w:val="24"/>
        </w:rPr>
        <w:t>β</w:t>
      </w:r>
      <w:r>
        <w:rPr>
          <w:rFonts w:ascii="Times New Roman" w:hAnsi="Times New Roman" w:eastAsia="Times New Roman"/>
          <w:sz w:val="24"/>
        </w:rPr>
        <w:t xml:space="preserve"> studies (principally Yu, 2021 and Kaspar et al., 2023) systematically attenuate the Neuroticism effect, potentially because these studies control for multiple covariates in the </w:t>
      </w:r>
      <w:r>
        <w:rPr>
          <w:rFonts w:ascii="Times New Roman" w:hAnsi="Times New Roman" w:eastAsia="Times New Roman"/>
          <w:i/>
          <w:sz w:val="24"/>
        </w:rPr>
        <w:t>β</w:t>
      </w:r>
      <w:r>
        <w:rPr>
          <w:rFonts w:ascii="Times New Roman" w:hAnsi="Times New Roman" w:eastAsia="Times New Roman"/>
          <w:sz w:val="24"/>
        </w:rPr>
        <w:t xml:space="preserve"> coefficients, diluting the zero-order Neuroticism-outcome association.</w:t>
      </w:r>
    </w:p>
    <w:p>
      <w:pPr>
        <w:spacing w:line="480" w:lineRule="auto" w:before="0" w:after="0"/>
        <w:ind w:firstLine="720"/>
      </w:pPr>
      <w:r>
        <w:rPr>
          <w:rFonts w:ascii="Times New Roman" w:hAnsi="Times New Roman" w:eastAsia="Times New Roman"/>
          <w:sz w:val="24"/>
        </w:rPr>
        <w:t xml:space="preserve">Hypothesis 5 (Extraversion as null or weak negative). The pooled Extraversion–achievement correlation was </w:t>
      </w:r>
      <w:r>
        <w:rPr>
          <w:rFonts w:ascii="Times New Roman" w:hAnsi="Times New Roman" w:eastAsia="Times New Roman"/>
          <w:i/>
          <w:sz w:val="24"/>
        </w:rPr>
        <w:t>r</w:t>
      </w:r>
      <w:r>
        <w:rPr>
          <w:rFonts w:ascii="Times New Roman" w:hAnsi="Times New Roman" w:eastAsia="Times New Roman"/>
          <w:sz w:val="24"/>
        </w:rPr>
        <w:t xml:space="preserve"> = .002, consistent with H5's prediction of a null overall effect. The overall H5 prediction is therefore supported. The proposed facet-level cancellation mechanism (sociability negative vs. assertiveness positive) could not be directly tested because few primary studies report Extraversion at the facet level, and a quantitative facet-level synthesis was not feasible (see Limitations). Moreover, two moderator analyses revealed systematic contextual conditions under which Extraversion shifts in the negative direction at the trait level: in Asian samples the pooled effect was </w:t>
      </w:r>
      <w:r>
        <w:rPr>
          <w:rFonts w:ascii="Times New Roman" w:hAnsi="Times New Roman" w:eastAsia="Times New Roman"/>
          <w:i/>
          <w:sz w:val="24"/>
        </w:rPr>
        <w:t>r</w:t>
      </w:r>
      <w:r>
        <w:rPr>
          <w:rFonts w:ascii="Times New Roman" w:hAnsi="Times New Roman" w:eastAsia="Times New Roman"/>
          <w:sz w:val="24"/>
        </w:rPr>
        <w:t xml:space="preserve"> = −.131 (95% CI [−.314, .061];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in objective achievement outcomes the pooled effect was </w:t>
      </w:r>
      <w:r>
        <w:rPr>
          <w:rFonts w:ascii="Times New Roman" w:hAnsi="Times New Roman" w:eastAsia="Times New Roman"/>
          <w:i/>
          <w:sz w:val="24"/>
        </w:rPr>
        <w:t>r</w:t>
      </w:r>
      <w:r>
        <w:rPr>
          <w:rFonts w:ascii="Times New Roman" w:hAnsi="Times New Roman" w:eastAsia="Times New Roman"/>
          <w:sz w:val="24"/>
        </w:rPr>
        <w:t xml:space="preserve"> = −.038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against self-rated </w:t>
      </w:r>
      <w:r>
        <w:rPr>
          <w:rFonts w:ascii="Times New Roman" w:hAnsi="Times New Roman" w:eastAsia="Times New Roman"/>
          <w:i/>
          <w:sz w:val="24"/>
        </w:rPr>
        <w:t>r</w:t>
      </w:r>
      <w:r>
        <w:rPr>
          <w:rFonts w:ascii="Times New Roman" w:hAnsi="Times New Roman" w:eastAsia="Times New Roman"/>
          <w:sz w:val="24"/>
        </w:rPr>
        <w:t xml:space="preserve"> = .117). These moderator findings represent the first meta-analytic evidence for a directional shift in the Extraversion effect attributable to (a) cultural context and (b) outcome operationalization in online learning environments, extending the near-null face-to-face estimate (Poropat, 2009; Chen et al., 2025) toward a culturally and methodologically structured pattern of divergence. Whether these contextual shifts reflect the H5 facet-cancellation mechanism (e.g., assertiveness facets activated more strongly in individualistic vs. collectivistic contexts) or a separate trait-level mechanism remains an open question for facet-level primary research.</w:t>
      </w:r>
    </w:p>
    <w:p>
      <w:pPr>
        <w:pStyle w:val="Heading2"/>
        <w:spacing w:line="480" w:lineRule="auto" w:before="0" w:after="0"/>
      </w:pPr>
      <w:r>
        <w:t>Theoretical Implications</w:t>
      </w:r>
    </w:p>
    <w:p>
      <w:pPr>
        <w:spacing w:line="480" w:lineRule="auto" w:before="0" w:after="0"/>
        <w:ind w:firstLine="720"/>
      </w:pPr>
      <w:r>
        <w:rPr>
          <w:rFonts w:ascii="Times New Roman" w:hAnsi="Times New Roman" w:eastAsia="Times New Roman"/>
          <w:sz w:val="24"/>
        </w:rPr>
        <w:t>The present findings carry several theoretical implications for the personality-achievement literature. First, the slightly reduced Conscientiousness effect in online environments (</w:t>
      </w:r>
      <w:r>
        <w:rPr>
          <w:rFonts w:ascii="Times New Roman" w:hAnsi="Times New Roman" w:eastAsia="Times New Roman"/>
          <w:i/>
          <w:sz w:val="24"/>
        </w:rPr>
        <w:t>r</w:t>
      </w:r>
      <w:r>
        <w:rPr>
          <w:rFonts w:ascii="Times New Roman" w:hAnsi="Times New Roman" w:eastAsia="Times New Roman"/>
          <w:sz w:val="24"/>
        </w:rPr>
        <w:t xml:space="preserve"> = .167 vs. face-to-face </w:t>
      </w:r>
      <w:r>
        <w:rPr>
          <w:rFonts w:ascii="Times New Roman" w:hAnsi="Times New Roman" w:eastAsia="Times New Roman"/>
          <w:i/>
          <w:sz w:val="24"/>
        </w:rPr>
        <w:t>ρ</w:t>
      </w:r>
      <w:r>
        <w:rPr>
          <w:rFonts w:ascii="Times New Roman" w:hAnsi="Times New Roman" w:eastAsia="Times New Roman"/>
          <w:sz w:val="24"/>
        </w:rPr>
        <w:t xml:space="preserve"> = .19–.28) provides preliminary support for the Personality-Achievement Saturation Hypothesis (PASH; Meyer et al., 2023), which posits that Conscientiousness is channeled into academic outcomes through behavioral signals visible to graders. In online environments with automated grading, reduced teacher observation, and fewer opportunities for classroom-level behavioral indicators, the PASH framework predicts a weakened Conscientiousness effect; the present meta-analytic estimate is consistent with this prediction, though the magnitude of attenuation (Δr ≈ .04–.10 depending on benchmark) is at or near the replicability threshold documented by Zell and Lesick (2022) for second-order meta-analyses. Further replication with larger </w:t>
      </w:r>
      <w:r>
        <w:rPr>
          <w:rFonts w:ascii="Times New Roman" w:hAnsi="Times New Roman" w:eastAsia="Times New Roman"/>
          <w:i/>
          <w:sz w:val="24"/>
        </w:rPr>
        <w:t>k</w:t>
      </w:r>
      <w:r>
        <w:rPr>
          <w:rFonts w:ascii="Times New Roman" w:hAnsi="Times New Roman" w:eastAsia="Times New Roman"/>
          <w:sz w:val="24"/>
        </w:rPr>
        <w:t xml:space="preserve"> is warranted before attributing this attenuation exclusively to the PASH mechanism.</w:t>
      </w:r>
    </w:p>
    <w:p>
      <w:pPr>
        <w:spacing w:line="480" w:lineRule="auto" w:before="0" w:after="0"/>
        <w:ind w:firstLine="720"/>
      </w:pPr>
      <w:r>
        <w:rPr>
          <w:rFonts w:ascii="Times New Roman" w:hAnsi="Times New Roman" w:eastAsia="Times New Roman"/>
          <w:sz w:val="24"/>
        </w:rPr>
        <w:t xml:space="preserve">Second, the null pooled Extraversion effect in online environments, combined with the large between-group differences in the Region × Extraversion subgroup contrast (Asia </w:t>
      </w:r>
      <w:r>
        <w:rPr>
          <w:rFonts w:ascii="Times New Roman" w:hAnsi="Times New Roman" w:eastAsia="Times New Roman"/>
          <w:i/>
          <w:sz w:val="24"/>
        </w:rPr>
        <w:t>r</w:t>
      </w:r>
      <w:r>
        <w:rPr>
          <w:rFonts w:ascii="Times New Roman" w:hAnsi="Times New Roman" w:eastAsia="Times New Roman"/>
          <w:sz w:val="24"/>
        </w:rPr>
        <w:t xml:space="preserve"> = −.131 vs. non-Asia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&lt; .001) and the Outcome-Type × Extraversion subgroup contrast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&lt; .001), contributes a more nuanced descriptive picture of how social presence and cultural context appear to moderate personality-achievement associations. We emphasise that both subgroup contrasts are based on a very small number of studies per level (in some cases two to three) and that the same small set of studies enters both contrasts; the contrasts should therefore be read as exploratory descriptive patterns rather than as confirmatory tests of interaction. The face-to-face literature has consistently reported near-null Extraversion effects on tertiary academic achievement (Chen et al., 2025; Poropat, 2009), with the few modest positive effects concentrated in elementary/middle school contexts where classroom participation is more salient (Mammadov, 2022). In online environments, the present primary estimate converges with this face-to-face pattern but appears to decompose into a negative effect in Asian samples and objective outcomes and a positive effect in self-rated outcomes. This pattern is consistent with two exploratory hypotheses — (a) that extraverts may be disadvantaged in collectivistic online contexts where social interaction is most constrained, and (b) that self-rated performance may be subject to an extraversion-linked self-enhancement bias — but the present evidence base is too small to discriminate between these explanations and alternative explanations (sampling, instrument, or outcome-domain confounds). The descriptive Outcome-Type contrast is a potentially useful methodological observation, in that it suggests prior single-outcome studies may have produced divergent Extraversion estimates partly because they differentially sampled objective vs. self-rated indicators; this descriptive pattern would, however, need confirmation in primary research that simultaneously collects both outcome types within the same learners. The descriptive pattern is directionally consistent with person-environment fit models of personality expression in technology-mediated contexts and with self-enhancement models of self-report methodology (Paulhus, 1998), but cannot by itself be taken as evidence for either model.</w:t>
      </w:r>
    </w:p>
    <w:p>
      <w:pPr>
        <w:spacing w:line="480" w:lineRule="auto" w:before="0" w:after="0"/>
        <w:ind w:firstLine="720"/>
      </w:pPr>
      <w:r>
        <w:rPr>
          <w:rFonts w:ascii="Times New Roman" w:hAnsi="Times New Roman" w:eastAsia="Times New Roman"/>
          <w:sz w:val="24"/>
        </w:rPr>
        <w:t xml:space="preserve">Third, the descriptive cultural moderator patterns — a directionally amplified Agreeableness estimate and a directionally negative Extraversion estimate in Asian samples — are directionally consistent with face-to-face cultural-moderator findings reported by Mammadov (2022) and Chen et al. (2025), but the present online </w:t>
      </w:r>
      <w:r>
        <w:rPr>
          <w:rFonts w:ascii="Times New Roman" w:hAnsi="Times New Roman" w:eastAsia="Times New Roman"/>
          <w:i/>
          <w:sz w:val="24"/>
        </w:rPr>
        <w:t>k</w:t>
      </w:r>
      <w:r>
        <w:rPr>
          <w:rFonts w:ascii="Times New Roman" w:hAnsi="Times New Roman" w:eastAsia="Times New Roman"/>
          <w:sz w:val="24"/>
        </w:rPr>
        <w:t xml:space="preserve"> is too small to constitute replication in any strong sense. The Asian Agreeableness pooled estimate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did not reach significance in the present </w:t>
      </w:r>
      <w:r>
        <w:rPr>
          <w:rFonts w:ascii="Times New Roman" w:hAnsi="Times New Roman" w:eastAsia="Times New Roman"/>
          <w:i/>
          <w:sz w:val="24"/>
        </w:rPr>
        <w:t>k</w:t>
      </w:r>
      <w:r>
        <w:rPr>
          <w:rFonts w:ascii="Times New Roman" w:hAnsi="Times New Roman" w:eastAsia="Times New Roman"/>
          <w:sz w:val="24"/>
        </w:rPr>
        <w:t xml:space="preserve"> = 2 Asian subsample, and the larger pooled Agreeableness estimate is itself fragile to the exclusion of the single Chinese MOOC sample (Yu, 2021) that dominates the Asian subset. At most, the present synthesis can be read as offering directional consistency with the proposition that the cultural mechanism documented in face-to-face syntheses (individualism vs. collectivism; competitive vs. cooperative classroom norms) may also operate in online environments. The tentative implications for online course design in East Asian institutional contexts are addressed cautiously under Practical Implications.</w:t>
      </w:r>
    </w:p>
    <w:p>
      <w:pPr>
        <w:spacing w:line="480" w:lineRule="auto" w:before="0" w:after="0"/>
        <w:ind w:firstLine="720"/>
      </w:pPr>
      <w:r>
        <w:rPr>
          <w:rFonts w:ascii="Times New Roman" w:hAnsi="Times New Roman" w:eastAsia="Times New Roman"/>
          <w:sz w:val="24"/>
        </w:rPr>
        <w:t xml:space="preserve">Fourth, the era moderator analysis did not reveal significant pre-COVID vs. COVID-era differences for any trait. In particular,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 .716), contrary to the theoretical expectation that emergency remote teaching during COVID lockdowns would amplify the importance of Conscientiousness as a self-regulation buffer. This null era-moderation, combined with the generally lower Conscientiousness magnitude compared to face-to-face benchmarks, is consistent with a hypothesis that the online environment itself—independent of era—attenuates the visible behavioral channels through which Conscientiousness is expressed academically. The post-COVID era could not be evaluated quantitatively because no post-COVID study contributed correlations to the primary pool (</w:t>
      </w:r>
      <w:r>
        <w:rPr>
          <w:rFonts w:ascii="Times New Roman" w:hAnsi="Times New Roman" w:eastAsia="Times New Roman"/>
          <w:i/>
          <w:sz w:val="24"/>
        </w:rPr>
        <w:t>k</w:t>
      </w:r>
      <w:r>
        <w:rPr>
          <w:rFonts w:ascii="Times New Roman" w:hAnsi="Times New Roman" w:eastAsia="Times New Roman"/>
          <w:sz w:val="24"/>
        </w:rPr>
        <w:t xml:space="preserve"> = 0 in the moderator analysis, with 4 post-COVID studies retained for qualitative synthesis only); future meta-analytic updates should reassess this pattern as the post-COVID primary literature matures.</w:t>
      </w:r>
    </w:p>
    <w:p>
      <w:pPr>
        <w:pStyle w:val="Heading2"/>
        <w:spacing w:line="480" w:lineRule="auto" w:before="0" w:after="0"/>
      </w:pPr>
      <w:r>
        <w:t>Tentative Practical Implications</w:t>
      </w:r>
    </w:p>
    <w:p>
      <w:pPr>
        <w:spacing w:line="480" w:lineRule="auto" w:before="0" w:after="0"/>
        <w:ind w:firstLine="720"/>
      </w:pPr>
      <w:r>
        <w:rPr>
          <w:rFonts w:ascii="Times New Roman" w:hAnsi="Times New Roman" w:eastAsia="Times New Roman"/>
          <w:sz w:val="24"/>
        </w:rPr>
        <w:t>We note up front that the practical implications below are best read as tentative working hypotheses rather than as actionable design or pedagogical recommendations. The primary achievement pool is small (</w:t>
      </w:r>
      <w:r>
        <w:rPr>
          <w:rFonts w:ascii="Times New Roman" w:hAnsi="Times New Roman" w:eastAsia="Times New Roman"/>
          <w:i/>
          <w:sz w:val="24"/>
        </w:rPr>
        <w:t>k</w:t>
      </w:r>
      <w:r>
        <w:rPr>
          <w:rFonts w:ascii="Times New Roman" w:hAnsi="Times New Roman" w:eastAsia="Times New Roman"/>
          <w:sz w:val="24"/>
        </w:rPr>
        <w:t xml:space="preserve"> = 10), heterogeneity is moderate to high for most traits, prediction intervals cross zero for all traits except Conscientiousness, and the two moderator contrasts that drive the modality-related implications below rest on a very small number of studies per subgroup (in some cases two to three). Practitioners and educational technology developers should not use the present synthesis as a sole basis for design or instructional decisions, and any of the implications below should be validated against larger and more linguistically inclusive future syntheses before being operationalised.</w:t>
      </w:r>
    </w:p>
    <w:p>
      <w:pPr>
        <w:spacing w:line="480" w:lineRule="auto" w:before="0" w:after="0"/>
        <w:ind w:firstLine="720"/>
      </w:pPr>
      <w:r>
        <w:rPr>
          <w:rFonts w:ascii="Times New Roman" w:hAnsi="Times New Roman" w:eastAsia="Times New Roman"/>
          <w:sz w:val="24"/>
        </w:rPr>
        <w:t>Subject to those caveats, the preserved (albeit slightly reduced) Conscientiousness effect (</w:t>
      </w:r>
      <w:r>
        <w:rPr>
          <w:rFonts w:ascii="Times New Roman" w:hAnsi="Times New Roman" w:eastAsia="Times New Roman"/>
          <w:i/>
          <w:sz w:val="24"/>
        </w:rPr>
        <w:t>r</w:t>
      </w:r>
      <w:r>
        <w:rPr>
          <w:rFonts w:ascii="Times New Roman" w:hAnsi="Times New Roman" w:eastAsia="Times New Roman"/>
          <w:sz w:val="24"/>
        </w:rPr>
        <w:t xml:space="preserve"> = .167) is consistent with the broadly held expectation that features supporting self-regulated learning—structured scheduling tools, progress tracking, deadline reminders, and LMS engagement analytics—are likely to benefit learners who are lower in Conscientiousness. This is also the implication that draws on the most stable finding in the present synthesis (Conscientiousness is the only trait whose 95% prediction interval does not include zero), and is therefore the implication for which the present evidence base provides the least tentative support.</w:t>
      </w:r>
    </w:p>
    <w:p>
      <w:pPr>
        <w:spacing w:line="480" w:lineRule="auto" w:before="0" w:after="0"/>
        <w:ind w:firstLine="720"/>
      </w:pPr>
      <w:r>
        <w:rPr>
          <w:rFonts w:ascii="Times New Roman" w:hAnsi="Times New Roman" w:eastAsia="Times New Roman"/>
          <w:sz w:val="24"/>
        </w:rPr>
        <w:t>The exploratory subgroup finding that the Extraversion-achievement association is negative in Asian samples and in objective outcomes — and positive in non-Asian samples and in self-rated outcomes — may be hypothesised, on the present evidence, to imply that (a) intentional incorporation of synchronous elements in fully asynchronous Asian-context courses may partially restore the social channels through which extraverted learners express engagement, and (b) self-rated performance metrics in online contexts may be subject to extraversion-related self-enhancement and should be triangulated with objective indicators where possible. We emphasise, however, that the Region and Outcome-Type subgroup contrasts are based on as few as two studies per level on at least one side of the contrast; that the Asian subset includes Middle Eastern samples whose theoretical positioning relative to East Asian collectivism is debated; and that the English-language restriction means a non-trivial fraction of the underlying Asian-context literature was implicitly excluded. These implications should therefore be treated as exploratory leads for primary-research replication rather than as established practical guidance.</w:t>
      </w:r>
    </w:p>
    <w:p>
      <w:pPr>
        <w:spacing w:line="480" w:lineRule="auto" w:before="0" w:after="0"/>
        <w:ind w:firstLine="720"/>
      </w:pPr>
      <w:r>
        <w:rPr>
          <w:rFonts w:ascii="Times New Roman" w:hAnsi="Times New Roman" w:eastAsia="Times New Roman"/>
          <w:sz w:val="24"/>
        </w:rPr>
        <w:t>The larger-than-expected Agreeableness pooled estimate (</w:t>
      </w:r>
      <w:r>
        <w:rPr>
          <w:rFonts w:ascii="Times New Roman" w:hAnsi="Times New Roman" w:eastAsia="Times New Roman"/>
          <w:i/>
          <w:sz w:val="24"/>
        </w:rPr>
        <w:t>r</w:t>
      </w:r>
      <w:r>
        <w:rPr>
          <w:rFonts w:ascii="Times New Roman" w:hAnsi="Times New Roman" w:eastAsia="Times New Roman"/>
          <w:sz w:val="24"/>
        </w:rPr>
        <w:t xml:space="preserve"> = .112) is driven primarily by a single Chinese MOOC sample (Yu, 2021); the pre-specified single-study leave-one-out sensitivity analysis showed that excluding this study substantially attenuates the Agreeableness effect. The Agreeableness finding is therefore one of the most fragile in the synthesis and should not, by itself, motivate cooperative-learning design recommendations. Convergent narrative evidence from other East Asian and Israeli studies is directionally consistent but not by itself sufficient to establish a robust cooperative-learning implication. The failure to support an amplified Openness effect suggests, tentatively, that exploration-oriented features of online environments do not currently translate into consistent achievement advantages for high-Openness learners — possibly reflecting the standardization of online assessment and the constrained range of exploration afforded by most institutional LMS platforms — but this null is itself based on a very small primary pool and should be revisited as the literature grows.</w:t>
      </w:r>
    </w:p>
    <w:p>
      <w:pPr>
        <w:pStyle w:val="Heading2"/>
        <w:spacing w:line="480" w:lineRule="auto" w:before="0" w:after="0"/>
      </w:pPr>
      <w:r>
        <w:t>Distinguishing Robust from Fragile Findings</w:t>
      </w:r>
    </w:p>
    <w:p>
      <w:pPr>
        <w:spacing w:line="480" w:lineRule="auto" w:before="0" w:after="0"/>
        <w:ind w:firstLine="720"/>
      </w:pPr>
      <w:r>
        <w:rPr>
          <w:rFonts w:ascii="Times New Roman" w:hAnsi="Times New Roman" w:eastAsia="Times New Roman"/>
          <w:sz w:val="24"/>
        </w:rPr>
        <w:t>Given the small primary pool, the wide prediction intervals around most pooled estimates, and the fact that several findings change appreciably under pre-specified sensitivity analyses, it is important to distinguish in the discussion above between findings that are relatively robust across analytic choices and findings that are fragile and dependent on specific decisions about effect-size conversion, individual study inclusion, or moderator coding.</w:t>
      </w:r>
    </w:p>
    <w:p>
      <w:pPr>
        <w:spacing w:line="480" w:lineRule="auto" w:before="0" w:after="0"/>
        <w:ind w:firstLine="720"/>
      </w:pPr>
      <w:r>
        <w:rPr>
          <w:rFonts w:ascii="Times New Roman" w:hAnsi="Times New Roman" w:eastAsia="Times New Roman"/>
          <w:sz w:val="24"/>
        </w:rPr>
        <w:t xml:space="preserve">The most robust finding is the positive Conscientiousness-achievement association (pooled </w:t>
      </w:r>
      <w:r>
        <w:rPr>
          <w:rFonts w:ascii="Times New Roman" w:hAnsi="Times New Roman" w:eastAsia="Times New Roman"/>
          <w:i/>
          <w:sz w:val="24"/>
        </w:rPr>
        <w:t>r</w:t>
      </w:r>
      <w:r>
        <w:rPr>
          <w:rFonts w:ascii="Times New Roman" w:hAnsi="Times New Roman" w:eastAsia="Times New Roman"/>
          <w:sz w:val="24"/>
        </w:rPr>
        <w:t xml:space="preserve"> = .167). Conscientiousness is the only trait whose 95% prediction interval does not include zero, the pooled estimate is stable under the leave-one-out, β-conversion-exclusion, risk-of-bias-exclusion, and author's-own-study-exclusion sensitivity analyses, and the direction and approximate magnitude are convergent with all eight prior face-to-face meta-analyses (range </w:t>
      </w:r>
      <w:r>
        <w:rPr>
          <w:rFonts w:ascii="Times New Roman" w:hAnsi="Times New Roman" w:eastAsia="Times New Roman"/>
          <w:i/>
          <w:sz w:val="24"/>
        </w:rPr>
        <w:t>ρ</w:t>
      </w:r>
      <w:r>
        <w:rPr>
          <w:rFonts w:ascii="Times New Roman" w:hAnsi="Times New Roman" w:eastAsia="Times New Roman"/>
          <w:sz w:val="24"/>
        </w:rPr>
        <w:t xml:space="preserve"> = .19–.28). Although the online magnitude is somewhat attenuated relative to these face-to-face benchmarks — a feature of the data that is consistent with the Personality-Achievement Saturation Hypothesis — the positivity and approximate size of the Conscientiousness effect should be regarded as a relatively robust feature of the present synthesis.</w:t>
      </w:r>
    </w:p>
    <w:p>
      <w:pPr>
        <w:spacing w:line="480" w:lineRule="auto" w:before="0" w:after="0"/>
        <w:ind w:firstLine="720"/>
      </w:pPr>
      <w:r>
        <w:rPr>
          <w:rFonts w:ascii="Times New Roman" w:hAnsi="Times New Roman" w:eastAsia="Times New Roman"/>
          <w:sz w:val="24"/>
        </w:rPr>
        <w:t>By contrast, the following findings are fragile and should be treated with substantially greater caution: (i) the pooled Agreeableness estimate (</w:t>
      </w:r>
      <w:r>
        <w:rPr>
          <w:rFonts w:ascii="Times New Roman" w:hAnsi="Times New Roman" w:eastAsia="Times New Roman"/>
          <w:i/>
          <w:sz w:val="24"/>
        </w:rPr>
        <w:t>r</w:t>
      </w:r>
      <w:r>
        <w:rPr>
          <w:rFonts w:ascii="Times New Roman" w:hAnsi="Times New Roman" w:eastAsia="Times New Roman"/>
          <w:sz w:val="24"/>
        </w:rPr>
        <w:t xml:space="preserve"> = .112), which is driven primarily by a single Chinese MOOC sample (Yu, 2021) and attenuates appreciably in the leave-one-out sensitivity analysis; (ii) the null Extraversion pooled estimate (</w:t>
      </w:r>
      <w:r>
        <w:rPr>
          <w:rFonts w:ascii="Times New Roman" w:hAnsi="Times New Roman" w:eastAsia="Times New Roman"/>
          <w:i/>
          <w:sz w:val="24"/>
        </w:rPr>
        <w:t>r</w:t>
      </w:r>
      <w:r>
        <w:rPr>
          <w:rFonts w:ascii="Times New Roman" w:hAnsi="Times New Roman" w:eastAsia="Times New Roman"/>
          <w:sz w:val="24"/>
        </w:rPr>
        <w:t xml:space="preserve"> = .002), which masks high between-subgroup heterogeneity and changes sign in the Region and Outcome-Type subgroups; (iii) the Extraversion × Region and Extraversion × Outcome Type subgroup contrasts themselves, which rest on as few as two studies per subgroup on at least one side and which involve the same set of small studies entering both contrasts; and (iv) the pooled estimates for Openness and Neuroticism, both of which have prediction intervals crossing zero by a wide margin and whose direction or magnitude shift under the β-conversion-exclusion sensitivity analysis. Readers should interpret discussion points that depend on these fragile findings — including the Agreeableness-cooperation hypothesis, the Asian-Extraversion-design hypothesis, and the Outcome-Type-self-enhancement hypothesis above — as exploratory rather than confirmatory, and should not assign them the same weight in narrative synthesis as the more robust Conscientiousness finding.</w:t>
      </w:r>
    </w:p>
    <w:p>
      <w:pPr>
        <w:pStyle w:val="Heading2"/>
        <w:spacing w:line="480" w:lineRule="auto" w:before="0" w:after="0"/>
      </w:pPr>
      <w:r>
        <w:t>Strengths of the Present Review</w:t>
      </w:r>
    </w:p>
    <w:p>
      <w:pPr>
        <w:spacing w:line="480" w:lineRule="auto" w:before="0" w:after="0"/>
        <w:ind w:firstLine="720"/>
      </w:pPr>
      <w:r>
        <w:rPr>
          <w:rFonts w:ascii="Times New Roman" w:hAnsi="Times New Roman" w:eastAsia="Times New Roman"/>
          <w:sz w:val="24"/>
        </w:rPr>
        <w:t xml:space="preserve">The present review has several methodological strengths. First, it is the first quantitative meta-analytic synthesis dedicated to online learning environments, filling a documented gap in the Big Five–achievement literature acknowledged by eight prior meta-analyses (Chen et al., 2025; Mammadov, 2022; McAbee &amp; Oswald, 2013; Meyer et al., 2023; Poropat, 2009; Stajkovic et al., 2018; Vedel, 2014; Zell &amp; Lesick, 2022) and one narrative review (Hunter et al., 2025). Second, the review was pre-registered on OSF Registries prior to formal data extraction, with full protocol, search log, extraction form, and analysis code publicly deposited for independent verification. Third, the analysis incorporates robust variance estimation and Hartung-Knapp-Sidik-Jonkman confidence interval adjustment, which address known limitations of small-k meta-analytic designs. Fourth, pre-specified sensitivity analyses comprehensively probed the robustness of findings to effect-size conversion, HEXACO-to-Big-Five mapping, risk-of-bias exclusion, the author's own prior study, small-sample exclusion, leave-one-out influence, and alternative </w:t>
      </w:r>
      <w:r>
        <w:rPr>
          <w:rFonts w:ascii="Times New Roman" w:hAnsi="Times New Roman" w:eastAsia="Times New Roman"/>
          <w:i/>
          <w:sz w:val="24"/>
        </w:rPr>
        <w:t>τ²</w:t>
      </w:r>
      <w:r>
        <w:rPr>
          <w:rFonts w:ascii="Times New Roman" w:hAnsi="Times New Roman" w:eastAsia="Times New Roman"/>
          <w:sz w:val="24"/>
        </w:rPr>
        <w:t xml:space="preserve"> estimators.</w:t>
      </w:r>
    </w:p>
    <w:p>
      <w:pPr>
        <w:pStyle w:val="Heading2"/>
        <w:spacing w:line="480" w:lineRule="auto" w:before="0" w:after="0"/>
      </w:pPr>
      <w:r>
        <w:t>Limitations</w:t>
      </w:r>
    </w:p>
    <w:p>
      <w:pPr>
        <w:spacing w:line="480" w:lineRule="auto" w:before="0" w:after="0"/>
        <w:ind w:firstLine="720"/>
      </w:pPr>
      <w:r>
        <w:rPr>
          <w:rFonts w:ascii="Times New Roman" w:hAnsi="Times New Roman" w:eastAsia="Times New Roman"/>
          <w:sz w:val="24"/>
        </w:rPr>
        <w:t>The review has several substantive limitations that materially constrain the strength of the conclusions and that should be kept in mind by readers. First, the number of primary studies contributing to the pooled achievement analyses (</w:t>
      </w:r>
      <w:r>
        <w:rPr>
          <w:rFonts w:ascii="Times New Roman" w:hAnsi="Times New Roman" w:eastAsia="Times New Roman"/>
          <w:i/>
          <w:sz w:val="24"/>
        </w:rPr>
        <w:t>k</w:t>
      </w:r>
      <w:r>
        <w:rPr>
          <w:rFonts w:ascii="Times New Roman" w:hAnsi="Times New Roman" w:eastAsia="Times New Roman"/>
          <w:sz w:val="24"/>
        </w:rPr>
        <w:t xml:space="preserve"> = 10, with 6 contributing direct Pearson correlations and 4 contributing β-converted correlations via the Peterson and Brown (2005) transformation) is at the lower bound of what is generally considered adequate for robust random-effects estimation (Borenstein et al., 2021). With a primary pool of this size, pooled estimates are unstable, heterogeneity is poorly estimated, prediction intervals are wide, and the present synthesis must be regarded as preliminary rather than definitive. Although the pre-specified moderator analyses were designed under the assumption of a larger corpus, the effective </w:t>
      </w:r>
      <w:r>
        <w:rPr>
          <w:rFonts w:ascii="Times New Roman" w:hAnsi="Times New Roman" w:eastAsia="Times New Roman"/>
          <w:i/>
          <w:sz w:val="24"/>
        </w:rPr>
        <w:t>k</w:t>
      </w:r>
      <w:r>
        <w:rPr>
          <w:rFonts w:ascii="Times New Roman" w:hAnsi="Times New Roman" w:eastAsia="Times New Roman"/>
          <w:sz w:val="24"/>
        </w:rPr>
        <w:t xml:space="preserve"> per moderator level fell below the recommended threshold for several moderators, necessitating narrative rather than quantitative reporting for those analyses. Where moderator subgroup analyses were conducted, the very small </w:t>
      </w:r>
      <w:r>
        <w:rPr>
          <w:rFonts w:ascii="Times New Roman" w:hAnsi="Times New Roman" w:eastAsia="Times New Roman"/>
          <w:i/>
          <w:sz w:val="24"/>
        </w:rPr>
        <w:t>k</w:t>
      </w:r>
      <w:r>
        <w:rPr>
          <w:rFonts w:ascii="Times New Roman" w:hAnsi="Times New Roman" w:eastAsia="Times New Roman"/>
          <w:sz w:val="24"/>
        </w:rPr>
        <w:t xml:space="preserve"> per level (in some cases as few as two studies per subgroup) further limits the inferences that can be drawn from the subgroup contrasts; the moderator-effect estimates reported should be treated as exploratory rather than confirmatory.</w:t>
      </w:r>
    </w:p>
    <w:p>
      <w:pPr>
        <w:spacing w:line="480" w:lineRule="auto" w:before="0" w:after="0"/>
        <w:ind w:firstLine="720"/>
      </w:pPr>
      <w:r>
        <w:rPr>
          <w:rFonts w:ascii="Times New Roman" w:hAnsi="Times New Roman" w:eastAsia="Times New Roman"/>
          <w:sz w:val="24"/>
        </w:rPr>
        <w:t>Second, the protocol specified six bibliographic databases (PubMed/MEDLINE, PsycINFO, ERIC, Web of Science, Scopus, and ProQuest Dissertations), but the execution environment lacked institutional access to the subscription-gated databases and did not permit direct API access to several open databases. The search was therefore executed via the WebSearch interface (Google-based) and supplemented by ERIC web search and open-access repository retrieval, with forward and backward citation snowballing from included studies and from prior meta-analyses. Although this deviation is transparently disclosed in Methods and in the search-strategy supplement, it represents a real departure from the pre-registered plan. The WebSearch route does not provide controlled-vocabulary (MeSH/thesaurus) indexing or per-database hit accounting in the same way that direct database searches do, and the lack of full PsycINFO and ProQuest Dissertations coverage means that a non-trivial number of potentially eligible non-English-language studies, dissertations, and grey-literature reports may have been missed. Combined with the English-language restriction (point five below), this limitation should reduce reader confidence in the comprehensiveness of the corpus, and the present synthesis should not be treated as an exhaustive census of the underlying literature. A replication search using full institutional access to the pre-registered databases is planned for a subsequent manuscript version.</w:t>
      </w:r>
    </w:p>
    <w:p>
      <w:pPr>
        <w:spacing w:line="480" w:lineRule="auto" w:before="0" w:after="0"/>
        <w:ind w:firstLine="720"/>
      </w:pPr>
      <w:r>
        <w:rPr>
          <w:rFonts w:ascii="Times New Roman" w:hAnsi="Times New Roman" w:eastAsia="Times New Roman"/>
          <w:sz w:val="24"/>
        </w:rPr>
        <w:t xml:space="preserve">Third, the review was conducted by a single reviewer, deviating from the Cochrane and PRISMA 2020 recommendation of two independent reviewers at the screening, full-text assessment, and data-extraction stages. Intra-rater reliability was assessed at each stage with target κ ≥ 0.80 met in each case, but intra-rater reliability cannot replicate inter-rater independence; single-reviewer workflows are known to be susceptible to systematic biases (e.g., confirmation effects in study inclusion, drift in extraction conventions) that intra-rater checks cannot fully detect. Readers should weight this limitation when interpreting the boundary decisions documented in the screening ledger. Fourth, the English-language restriction excluded a potentially informative body of non-English primary literature, particularly Chinese-, Japanese-, Korean-, and Spanish-language work where the personality-achievement association in online contexts is theoretically interesting. This restriction is especially consequential for the moderator findings concerning East Asian and Middle Eastern samples reported below, because the subset of non-English regional work that was implicitly excluded is precisely the work most likely to clarify those moderator effects. Fifth, the included studies varied substantially in their outcome operationalizations: some used objective GPA or standardized exam scores, others used self-reported achievement, course satisfaction, engagement composites, or LMS-behavior indicators. This heterogeneity limits the precision of the pooled effects, inflates observed </w:t>
      </w:r>
      <w:r>
        <w:rPr>
          <w:rFonts w:ascii="Times New Roman" w:hAnsi="Times New Roman" w:eastAsia="Times New Roman"/>
          <w:i/>
          <w:sz w:val="24"/>
        </w:rPr>
        <w:t>I²</w:t>
      </w:r>
      <w:r>
        <w:rPr>
          <w:rFonts w:ascii="Times New Roman" w:hAnsi="Times New Roman" w:eastAsia="Times New Roman"/>
          <w:sz w:val="24"/>
        </w:rPr>
        <w:t xml:space="preserve"> values, and almost certainly contributes to the wide prediction intervals reported in the Results section.</w:t>
      </w:r>
    </w:p>
    <w:p>
      <w:pPr>
        <w:spacing w:line="480" w:lineRule="auto" w:before="0" w:after="0"/>
        <w:ind w:firstLine="720"/>
      </w:pPr>
      <w:r>
        <w:rPr>
          <w:rFonts w:ascii="Times New Roman" w:hAnsi="Times New Roman" w:eastAsia="Times New Roman"/>
          <w:sz w:val="24"/>
        </w:rPr>
        <w:t>Sixth, the author's own prior primary study (the author's own prior primary study) was included in the qualitative-synthesis retained set as a potentially eligible record. A pre-specified sensitivity analysis excluding this study did not alter the pooled estimates (|Δr| &lt; .001 for every trait) because the author's own prior primary study did not contribute extractable zero-order correlations to the primary quantitative pool; both the primary and sensitivity results are reported transparently in Table 4 for reader scrutiny. Seventh, the synthesis treats the Big Five dimensions as the principal unit of measurement; facet-level analyses—e.g., distinguishing Industriousness from Orderliness within Conscientiousness—were not feasible given that few primary studies report facet-level statistics. Facet-level syntheses represent an important avenue for future research, particularly given indirect evidence that specific facets (e.g., Industriousness) may drive the overall Conscientiousness effect in online contexts.</w:t>
      </w:r>
    </w:p>
    <w:p>
      <w:pPr>
        <w:pStyle w:val="Heading2"/>
        <w:spacing w:line="480" w:lineRule="auto" w:before="0" w:after="0"/>
      </w:pPr>
      <w:r>
        <w:t>Future Research Directions</w:t>
      </w:r>
    </w:p>
    <w:p>
      <w:pPr>
        <w:spacing w:line="480" w:lineRule="auto" w:before="0" w:after="0"/>
        <w:ind w:firstLine="720"/>
      </w:pPr>
      <w:r>
        <w:rPr>
          <w:rFonts w:ascii="Times New Roman" w:hAnsi="Times New Roman" w:eastAsia="Times New Roman"/>
          <w:sz w:val="24"/>
        </w:rPr>
        <w:t>Several directions for future research emerge from the present findings. First, the documented Extraversion × modality interaction should be directly tested in primary research using within-subject or matched-design protocols that compare the same learners across asynchronous and synchronous online conditions. Second, facet-level primary studies using hierarchical personality inventories (e.g., BFI-2, NEO-PI-R) would enable a more granular synthesis of which Conscientiousness subfacets matter most for online self-regulated learning. Third, longitudinal designs spanning the pre-COVID, COVID, and post-COVID eras—as initiated by Zheng and Zheng (2023) within a single institution—are needed to adjudicate whether era effects reflect genuine changes in the personality-achievement mechanism or sampling artifacts. Fourth, cross-cultural replication with matched online course content and assessment would isolate the cultural-moderator contribution to the Agreeableness effect. Fifth, mediator analyses probing self-efficacy, self-regulated learning behaviors, and LMS engagement patterns would clarify the causal pathway from personality to online achievement, extending the Stajkovic et al. (2018) path-analytic framework to online contexts.</w:t>
      </w:r>
    </w:p>
    <w:p>
      <w:pPr>
        <w:pStyle w:val="Heading1"/>
        <w:spacing w:line="480" w:lineRule="auto" w:before="0" w:after="0"/>
      </w:pPr>
      <w:r>
        <w:t>Conclusion</w:t>
      </w:r>
    </w:p>
    <w:p>
      <w:pPr>
        <w:spacing w:line="480" w:lineRule="auto" w:before="0" w:after="0"/>
        <w:ind w:firstLine="720"/>
      </w:pPr>
      <w:r>
        <w:rPr>
          <w:rFonts w:ascii="Times New Roman" w:hAnsi="Times New Roman" w:eastAsia="Times New Roman"/>
          <w:sz w:val="24"/>
        </w:rPr>
        <w:t xml:space="preserve">The present meta-analysis provides a first, preliminary quantitative synthesis of Big Five personality traits and academic achievement in online learning environments. Because the primary achievement pool comprised only 10 studies, several with very small subgroup </w:t>
      </w:r>
      <w:r>
        <w:rPr>
          <w:rFonts w:ascii="Times New Roman" w:hAnsi="Times New Roman" w:eastAsia="Times New Roman"/>
          <w:i/>
          <w:sz w:val="24"/>
        </w:rPr>
        <w:t>k</w:t>
      </w:r>
      <w:r>
        <w:rPr>
          <w:rFonts w:ascii="Times New Roman" w:hAnsi="Times New Roman" w:eastAsia="Times New Roman"/>
          <w:sz w:val="24"/>
        </w:rPr>
        <w:t xml:space="preserve"> and with wide prediction intervals that include zero for most traits, the conclusions below are best read as tentative hypotheses to be tested in larger future syntheses rather than as established findings. The findings are broadly consistent with, but do not by themselves establish, an extension of the face-to-face pattern to online learning: Conscientiousness emerged as the most plausible positive predictor (</w:t>
      </w:r>
      <w:r>
        <w:rPr>
          <w:rFonts w:ascii="Times New Roman" w:hAnsi="Times New Roman" w:eastAsia="Times New Roman"/>
          <w:i/>
          <w:sz w:val="24"/>
        </w:rPr>
        <w:t>r</w:t>
      </w:r>
      <w:r>
        <w:rPr>
          <w:rFonts w:ascii="Times New Roman" w:hAnsi="Times New Roman" w:eastAsia="Times New Roman"/>
          <w:sz w:val="24"/>
        </w:rPr>
        <w:t xml:space="preserve"> = .167) at somewhat reduced magnitude compared to traditional classroom benchmarks; Extraversion was null on average (</w:t>
      </w:r>
      <w:r>
        <w:rPr>
          <w:rFonts w:ascii="Times New Roman" w:hAnsi="Times New Roman" w:eastAsia="Times New Roman"/>
          <w:i/>
          <w:sz w:val="24"/>
        </w:rPr>
        <w:t>r</w:t>
      </w:r>
      <w:r>
        <w:rPr>
          <w:rFonts w:ascii="Times New Roman" w:hAnsi="Times New Roman" w:eastAsia="Times New Roman"/>
          <w:sz w:val="24"/>
        </w:rPr>
        <w:t xml:space="preserve"> = .002) but with highly heterogeneous subgroup estimates that, in the subset of Asian samples and objective outcomes, were negative; Agreeableness appeared slightly larger than the face-to-face benchmark but was driven primarily by a single Chinese MOOC sample (Yu, 2021), and this finding is fragile to the exclusion of that single study; and Neuroticism and Openness effects were essentially null in the primary synthesis. The findings are consistent with the Personality-Achievement Saturation Hypothesis (Meyer et al., 2023) as a framework for understanding the online attenuation of Conscientiousness, but the present evidence base is too small to constitute strong confirmation. The exploratory cultural- and outcome-type-dependent shifts in the Extraversion effect identified here highlight a priority for future primary research, but should not yet be used to guide pedagogical practice. As online and blended instruction continues to constitute a substantial and growing share of post-secondary education globally, the present synthesis provides a preliminary empirical reference point and a baseline for continued meta-analytic monitoring as the post-COVID online learning literature matures.</w:t>
      </w:r>
    </w:p>
    <w:p>
      <w:r>
        <w:br w:type="page"/>
      </w:r>
    </w:p>
    <w:p>
      <w:pPr>
        <w:pStyle w:val="Heading1"/>
        <w:spacing w:line="480" w:lineRule="auto" w:before="0" w:after="0"/>
        <w:jc w:val="center"/>
      </w:pPr>
      <w:r>
        <w:rPr>
          <w:rFonts w:ascii="Times New Roman" w:hAnsi="Times New Roman" w:eastAsia="Times New Roman"/>
          <w:b/>
          <w:sz w:val="24"/>
        </w:rPr>
        <w:t>References</w:t>
      </w:r>
    </w:p>
    <w:p>
      <w:pPr>
        <w:spacing w:line="480" w:lineRule="auto" w:before="0" w:after="0"/>
        <w:ind w:left="720" w:hanging="720"/>
      </w:pPr>
      <w:r>
        <w:rPr>
          <w:rFonts w:ascii="Times New Roman" w:hAnsi="Times New Roman" w:eastAsia="Times New Roman"/>
          <w:sz w:val="24"/>
        </w:rPr>
        <w:t xml:space="preserve">Abe, J. A. A. (2020). Big five, linguistic styles, and successful online learning. </w:t>
      </w:r>
      <w:r>
        <w:rPr>
          <w:rFonts w:ascii="Times New Roman" w:hAnsi="Times New Roman" w:eastAsia="Times New Roman"/>
          <w:i/>
          <w:sz w:val="24"/>
        </w:rPr>
        <w:t>The Internet and Higher Education, 45</w:t>
      </w:r>
      <w:r>
        <w:rPr>
          <w:rFonts w:ascii="Times New Roman" w:hAnsi="Times New Roman" w:eastAsia="Times New Roman"/>
          <w:sz w:val="24"/>
        </w:rPr>
        <w:t>, 100724. https://doi.org/10.1016/j.iheduc.2019.100724</w:t>
      </w:r>
    </w:p>
    <w:p>
      <w:pPr>
        <w:spacing w:line="480" w:lineRule="auto" w:before="0" w:after="0"/>
        <w:ind w:left="720" w:hanging="720"/>
      </w:pPr>
      <w:r>
        <w:rPr>
          <w:rFonts w:ascii="Times New Roman" w:hAnsi="Times New Roman" w:eastAsia="Times New Roman"/>
          <w:sz w:val="24"/>
        </w:rPr>
        <w:t xml:space="preserve">Alkış, </w:t>
      </w:r>
      <w:r>
        <w:rPr>
          <w:rFonts w:ascii="Times New Roman" w:hAnsi="Times New Roman" w:eastAsia="Times New Roman"/>
          <w:i/>
          <w:sz w:val="24"/>
        </w:rPr>
        <w:t>N</w:t>
      </w:r>
      <w:r>
        <w:rPr>
          <w:rFonts w:ascii="Times New Roman" w:hAnsi="Times New Roman" w:eastAsia="Times New Roman"/>
          <w:sz w:val="24"/>
        </w:rPr>
        <w:t>., &amp; Taşkaya Temizel, T. (2018). The impact of motivation and personality on academic performance in online and blended learning environments. Educational Technology &amp; Society, 21(3), 35–47.</w:t>
      </w:r>
    </w:p>
    <w:p>
      <w:pPr>
        <w:spacing w:line="480" w:lineRule="auto" w:before="0" w:after="0"/>
        <w:ind w:left="720" w:hanging="720"/>
      </w:pPr>
      <w:r>
        <w:rPr>
          <w:rFonts w:ascii="Times New Roman" w:hAnsi="Times New Roman" w:eastAsia="Times New Roman"/>
          <w:sz w:val="24"/>
        </w:rPr>
        <w:t xml:space="preserve">Ashouri, A., Taheri, </w:t>
      </w:r>
      <w:r>
        <w:rPr>
          <w:rFonts w:ascii="Times New Roman" w:hAnsi="Times New Roman" w:eastAsia="Times New Roman"/>
          <w:i/>
          <w:sz w:val="24"/>
        </w:rPr>
        <w:t>M</w:t>
      </w:r>
      <w:r>
        <w:rPr>
          <w:rFonts w:ascii="Times New Roman" w:hAnsi="Times New Roman" w:eastAsia="Times New Roman"/>
          <w:sz w:val="24"/>
        </w:rPr>
        <w:t xml:space="preserve">., Rasouli, </w:t>
      </w:r>
      <w:r>
        <w:rPr>
          <w:rFonts w:ascii="Times New Roman" w:hAnsi="Times New Roman" w:eastAsia="Times New Roman"/>
          <w:i/>
          <w:sz w:val="24"/>
        </w:rPr>
        <w:t>M</w:t>
      </w:r>
      <w:r>
        <w:rPr>
          <w:rFonts w:ascii="Times New Roman" w:hAnsi="Times New Roman" w:eastAsia="Times New Roman"/>
          <w:sz w:val="24"/>
        </w:rPr>
        <w:t>., &amp; Rouhalamin, S. (2025). Personality traits and e-learning course satisfaction: A study of health science students. Cureus, 17(7), e89131.</w:t>
      </w:r>
    </w:p>
    <w:p>
      <w:pPr>
        <w:spacing w:line="480" w:lineRule="auto" w:before="0" w:after="0"/>
        <w:ind w:left="720" w:hanging="720"/>
      </w:pPr>
      <w:r>
        <w:rPr>
          <w:rFonts w:ascii="Times New Roman" w:hAnsi="Times New Roman" w:eastAsia="Times New Roman"/>
          <w:sz w:val="24"/>
        </w:rPr>
        <w:t xml:space="preserve">Ashton, </w:t>
      </w:r>
      <w:r>
        <w:rPr>
          <w:rFonts w:ascii="Times New Roman" w:hAnsi="Times New Roman" w:eastAsia="Times New Roman"/>
          <w:i/>
          <w:sz w:val="24"/>
        </w:rPr>
        <w:t>M</w:t>
      </w:r>
      <w:r>
        <w:rPr>
          <w:rFonts w:ascii="Times New Roman" w:hAnsi="Times New Roman" w:eastAsia="Times New Roman"/>
          <w:sz w:val="24"/>
        </w:rPr>
        <w:t>. C., &amp; Lee, K. (2007). Empirical, theoretical, and practical advantages of the HEXACO model of personality structure. Personality and Social Psychology Review, 11(2), 150–166. https://doi.org/10.1177/1088868306294907</w:t>
      </w:r>
    </w:p>
    <w:p>
      <w:pPr>
        <w:spacing w:line="480" w:lineRule="auto" w:before="0" w:after="0"/>
        <w:ind w:left="720" w:hanging="720"/>
      </w:pPr>
      <w:r>
        <w:rPr>
          <w:rFonts w:ascii="Times New Roman" w:hAnsi="Times New Roman" w:eastAsia="Times New Roman"/>
          <w:sz w:val="24"/>
        </w:rPr>
        <w:t xml:space="preserve">Audet, É. C., Levine, S. L., Metin, E., Koestner, S., &amp; Barcan, S. (2021). Zooming their way through university: Which Big 5 traits facilitated students' adjustment to online courses during the COVID-19 pandemic. </w:t>
      </w:r>
      <w:r>
        <w:rPr>
          <w:rFonts w:ascii="Times New Roman" w:hAnsi="Times New Roman" w:eastAsia="Times New Roman"/>
          <w:i/>
          <w:sz w:val="24"/>
        </w:rPr>
        <w:t>Personality and Individual Differences, 180</w:t>
      </w:r>
      <w:r>
        <w:rPr>
          <w:rFonts w:ascii="Times New Roman" w:hAnsi="Times New Roman" w:eastAsia="Times New Roman"/>
          <w:sz w:val="24"/>
        </w:rPr>
        <w:t>, 110969. https://doi.org/10.1016/j.paid.2021.110969</w:t>
      </w:r>
    </w:p>
    <w:p>
      <w:pPr>
        <w:spacing w:line="480" w:lineRule="auto" w:before="0" w:after="0"/>
        <w:ind w:left="720" w:hanging="720"/>
      </w:pPr>
      <w:r>
        <w:rPr>
          <w:rFonts w:ascii="Times New Roman" w:hAnsi="Times New Roman" w:eastAsia="Times New Roman"/>
          <w:sz w:val="24"/>
        </w:rPr>
        <w:t xml:space="preserve">Audet, É. C., Levine, S. L., Dubois, P., Koestner, S., &amp; Koestner, R. (2023). The unanticipated virtual year: How the Big 5 personality traits of openness to experience and conscientiousness impacted engagement in online classes during the COVID-19 crisis. </w:t>
      </w:r>
      <w:r>
        <w:rPr>
          <w:rFonts w:ascii="Times New Roman" w:hAnsi="Times New Roman" w:eastAsia="Times New Roman"/>
          <w:i/>
          <w:sz w:val="24"/>
        </w:rPr>
        <w:t>Journal of College Reading and Learning, 53</w:t>
      </w:r>
      <w:r>
        <w:rPr>
          <w:rFonts w:ascii="Times New Roman" w:hAnsi="Times New Roman" w:eastAsia="Times New Roman"/>
          <w:sz w:val="24"/>
        </w:rPr>
        <w:t>(4), 298–315. https://doi.org/10.1080/10790195.2023.2250402</w:t>
      </w:r>
    </w:p>
    <w:p>
      <w:pPr>
        <w:spacing w:line="480" w:lineRule="auto" w:before="0" w:after="0"/>
        <w:ind w:left="720" w:hanging="720"/>
      </w:pPr>
      <w:r>
        <w:rPr>
          <w:rFonts w:ascii="Times New Roman" w:hAnsi="Times New Roman" w:eastAsia="Times New Roman"/>
          <w:sz w:val="24"/>
        </w:rPr>
        <w:t xml:space="preserve">Bahçekapılı, E., &amp; Karaman, S. (2020). A path analysis of five-factor personality traits, self-efficacy, academic locus of control and academic achievement among online students. </w:t>
      </w:r>
      <w:r>
        <w:rPr>
          <w:rFonts w:ascii="Times New Roman" w:hAnsi="Times New Roman" w:eastAsia="Times New Roman"/>
          <w:i/>
          <w:sz w:val="24"/>
        </w:rPr>
        <w:t>Knowledge Management &amp; E-Learning, 12</w:t>
      </w:r>
      <w:r>
        <w:rPr>
          <w:rFonts w:ascii="Times New Roman" w:hAnsi="Times New Roman" w:eastAsia="Times New Roman"/>
          <w:sz w:val="24"/>
        </w:rPr>
        <w:t>(2), 191–208. https://doi.org/10.34105/j.kmel.2020.12.010</w:t>
      </w:r>
    </w:p>
    <w:p>
      <w:pPr>
        <w:spacing w:line="480" w:lineRule="auto" w:before="0" w:after="0"/>
        <w:ind w:left="720" w:hanging="720"/>
      </w:pPr>
      <w:r>
        <w:rPr>
          <w:rFonts w:ascii="Times New Roman" w:hAnsi="Times New Roman" w:eastAsia="Times New Roman"/>
          <w:sz w:val="24"/>
        </w:rPr>
        <w:t xml:space="preserve">Baruth, O., &amp; Cohen, A. (2023). Personality and satisfaction with online courses: The relation between the Big Five personality traits and satisfaction with online learning activities. </w:t>
      </w:r>
      <w:r>
        <w:rPr>
          <w:rFonts w:ascii="Times New Roman" w:hAnsi="Times New Roman" w:eastAsia="Times New Roman"/>
          <w:i/>
          <w:sz w:val="24"/>
        </w:rPr>
        <w:t>Education and Information Technologies, 28</w:t>
      </w:r>
      <w:r>
        <w:rPr>
          <w:rFonts w:ascii="Times New Roman" w:hAnsi="Times New Roman" w:eastAsia="Times New Roman"/>
          <w:sz w:val="24"/>
        </w:rPr>
        <w:t>, 879–904. https://doi.org/10.1007/s10639-022-11199-x</w:t>
      </w:r>
    </w:p>
    <w:p>
      <w:pPr>
        <w:spacing w:line="480" w:lineRule="auto" w:before="0" w:after="0"/>
        <w:ind w:left="720" w:hanging="720"/>
      </w:pPr>
      <w:r>
        <w:rPr>
          <w:rFonts w:ascii="Times New Roman" w:hAnsi="Times New Roman" w:eastAsia="Times New Roman"/>
          <w:sz w:val="24"/>
        </w:rPr>
        <w:t xml:space="preserve">Bhagat, K. K., Wu, L. Y., &amp; Chang, C. Y. (2019). The impact of personality on students' perceptions towards online learning. </w:t>
      </w:r>
      <w:r>
        <w:rPr>
          <w:rFonts w:ascii="Times New Roman" w:hAnsi="Times New Roman" w:eastAsia="Times New Roman"/>
          <w:i/>
          <w:sz w:val="24"/>
        </w:rPr>
        <w:t>Australasian Journal of Educational Technology, 35</w:t>
      </w:r>
      <w:r>
        <w:rPr>
          <w:rFonts w:ascii="Times New Roman" w:hAnsi="Times New Roman" w:eastAsia="Times New Roman"/>
          <w:sz w:val="24"/>
        </w:rPr>
        <w:t>(4), 98–108. https://doi.org/10.14742/ajet.4162</w:t>
      </w:r>
    </w:p>
    <w:p>
      <w:pPr>
        <w:spacing w:line="480" w:lineRule="auto" w:before="0" w:after="0"/>
        <w:ind w:left="720" w:hanging="720"/>
      </w:pPr>
      <w:r>
        <w:rPr>
          <w:rFonts w:ascii="Times New Roman" w:hAnsi="Times New Roman" w:eastAsia="Times New Roman"/>
          <w:sz w:val="24"/>
        </w:rPr>
        <w:t xml:space="preserve">Bhattacharjee, R. R., &amp; Ramkumar, A. (2025). Effect of big five personality dimensions on the academic performance of college students. </w:t>
      </w:r>
      <w:r>
        <w:rPr>
          <w:rFonts w:ascii="Times New Roman" w:hAnsi="Times New Roman" w:eastAsia="Times New Roman"/>
          <w:i/>
          <w:sz w:val="24"/>
        </w:rPr>
        <w:t>Frontiers in Psychology, 16</w:t>
      </w:r>
      <w:r>
        <w:rPr>
          <w:rFonts w:ascii="Times New Roman" w:hAnsi="Times New Roman" w:eastAsia="Times New Roman"/>
          <w:sz w:val="24"/>
        </w:rPr>
        <w:t>, 1490427. https://doi.org/10.3389/fpsyg.2025.1490427</w:t>
      </w:r>
    </w:p>
    <w:p>
      <w:pPr>
        <w:spacing w:line="480" w:lineRule="auto" w:before="0" w:after="0"/>
        <w:ind w:left="720" w:hanging="720"/>
      </w:pPr>
      <w:r>
        <w:rPr>
          <w:rFonts w:ascii="Times New Roman" w:hAnsi="Times New Roman" w:eastAsia="Times New Roman"/>
          <w:sz w:val="24"/>
        </w:rPr>
        <w:t xml:space="preserve">Boonyapison, K., Sittironnarit, G., &amp; Rattanaumpawan, P. (2025). Association between the big five personalities and academic performance among grade 12 students at international high school in Thailand. </w:t>
      </w:r>
      <w:r>
        <w:rPr>
          <w:rFonts w:ascii="Times New Roman" w:hAnsi="Times New Roman" w:eastAsia="Times New Roman"/>
          <w:i/>
          <w:sz w:val="24"/>
        </w:rPr>
        <w:t>Scientific Reports, 15</w:t>
      </w:r>
      <w:r>
        <w:rPr>
          <w:rFonts w:ascii="Times New Roman" w:hAnsi="Times New Roman" w:eastAsia="Times New Roman"/>
          <w:sz w:val="24"/>
        </w:rPr>
        <w:t>, 16484. https://doi.org/10.1038/s41598-025-01038-7</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(2009). Introduction to meta-analysis. John Wiley &amp; Sons.</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(2021). Introduction to meta-analysis (2nd ed.). John Wiley &amp; Sons.</w:t>
      </w:r>
    </w:p>
    <w:p>
      <w:pPr>
        <w:spacing w:line="480" w:lineRule="auto" w:before="0" w:after="0"/>
        <w:ind w:left="720" w:hanging="720"/>
      </w:pPr>
      <w:r>
        <w:rPr>
          <w:rFonts w:ascii="Times New Roman" w:hAnsi="Times New Roman" w:eastAsia="Times New Roman"/>
          <w:sz w:val="24"/>
        </w:rPr>
        <w:t xml:space="preserve">Broadbent, J., &amp; Poon, W. L. (2015). Self-regulated learning strategies &amp; academic achievement in online higher education learning environments: A systematic review. </w:t>
      </w:r>
      <w:r>
        <w:rPr>
          <w:rFonts w:ascii="Times New Roman" w:hAnsi="Times New Roman" w:eastAsia="Times New Roman"/>
          <w:i/>
          <w:sz w:val="24"/>
        </w:rPr>
        <w:t>The Internet and Higher Education, 27</w:t>
      </w:r>
      <w:r>
        <w:rPr>
          <w:rFonts w:ascii="Times New Roman" w:hAnsi="Times New Roman" w:eastAsia="Times New Roman"/>
          <w:sz w:val="24"/>
        </w:rPr>
        <w:t>, 1–13. https://doi.org/10.1016/j.iheduc.2015.04.007</w:t>
      </w:r>
    </w:p>
    <w:p>
      <w:pPr>
        <w:spacing w:line="480" w:lineRule="auto" w:before="0" w:after="0"/>
        <w:ind w:left="720" w:hanging="720"/>
      </w:pPr>
      <w:r>
        <w:rPr>
          <w:rFonts w:ascii="Times New Roman" w:hAnsi="Times New Roman" w:eastAsia="Times New Roman"/>
          <w:sz w:val="24"/>
        </w:rPr>
        <w:t xml:space="preserve">Chen, S., Cheung, A. C. K., &amp; Zeng, Z. (2025). Big Five personality traits and university students' academic performance: A meta-analysis. </w:t>
      </w:r>
      <w:r>
        <w:rPr>
          <w:rFonts w:ascii="Times New Roman" w:hAnsi="Times New Roman" w:eastAsia="Times New Roman"/>
          <w:i/>
          <w:sz w:val="24"/>
        </w:rPr>
        <w:t>Personality and Individual Differences, 240</w:t>
      </w:r>
      <w:r>
        <w:rPr>
          <w:rFonts w:ascii="Times New Roman" w:hAnsi="Times New Roman" w:eastAsia="Times New Roman"/>
          <w:sz w:val="24"/>
        </w:rPr>
        <w:t>, 113163. https://doi.org/10.1016/j.paid.2025.113163</w:t>
      </w:r>
    </w:p>
    <w:p>
      <w:pPr>
        <w:spacing w:line="480" w:lineRule="auto" w:before="0" w:after="0"/>
        <w:ind w:left="720" w:hanging="720"/>
      </w:pPr>
      <w:r>
        <w:rPr>
          <w:rFonts w:ascii="Times New Roman" w:hAnsi="Times New Roman" w:eastAsia="Times New Roman"/>
          <w:sz w:val="24"/>
        </w:rPr>
        <w:t xml:space="preserve">Cheng, S.-L., Chang, J.-C., Quilantan-Garza, K., &amp; Gutierrez, </w:t>
      </w:r>
      <w:r>
        <w:rPr>
          <w:rFonts w:ascii="Times New Roman" w:hAnsi="Times New Roman" w:eastAsia="Times New Roman"/>
          <w:i/>
          <w:sz w:val="24"/>
        </w:rPr>
        <w:t>M</w:t>
      </w:r>
      <w:r>
        <w:rPr>
          <w:rFonts w:ascii="Times New Roman" w:hAnsi="Times New Roman" w:eastAsia="Times New Roman"/>
          <w:sz w:val="24"/>
        </w:rPr>
        <w:t>. L. (2023). Conscientiousness, prior experience, achievement emotions and academic procrastination in online learning environments. British Journal of Educational Technology, 54(4), 898–923. https://doi.org/10.1111/bjet.13302</w:t>
      </w:r>
    </w:p>
    <w:p>
      <w:pPr>
        <w:spacing w:line="480" w:lineRule="auto" w:before="0" w:after="0"/>
        <w:ind w:left="720" w:hanging="720"/>
      </w:pPr>
      <w:r>
        <w:rPr>
          <w:rFonts w:ascii="Times New Roman" w:hAnsi="Times New Roman" w:eastAsia="Times New Roman"/>
          <w:sz w:val="24"/>
        </w:rPr>
        <w:t xml:space="preserve">Cohen, A., &amp; Baruth, O. (2017). Personality, learning, and satisfaction in fully online academic courses. </w:t>
      </w:r>
      <w:r>
        <w:rPr>
          <w:rFonts w:ascii="Times New Roman" w:hAnsi="Times New Roman" w:eastAsia="Times New Roman"/>
          <w:i/>
          <w:sz w:val="24"/>
        </w:rPr>
        <w:t>Computers in Human Behavior, 72</w:t>
      </w:r>
      <w:r>
        <w:rPr>
          <w:rFonts w:ascii="Times New Roman" w:hAnsi="Times New Roman" w:eastAsia="Times New Roman"/>
          <w:sz w:val="24"/>
        </w:rPr>
        <w:t>, 1–12. https://doi.org/10.1016/j.chb.2017.02.030</w:t>
      </w:r>
    </w:p>
    <w:p>
      <w:pPr>
        <w:spacing w:line="480" w:lineRule="auto" w:before="0" w:after="0"/>
        <w:ind w:left="720" w:hanging="720"/>
      </w:pPr>
      <w:r>
        <w:rPr>
          <w:rFonts w:ascii="Times New Roman" w:hAnsi="Times New Roman" w:eastAsia="Times New Roman"/>
          <w:sz w:val="24"/>
        </w:rPr>
        <w:t xml:space="preserve">Dang, T., Du, W., Niu, </w:t>
      </w:r>
      <w:r>
        <w:rPr>
          <w:rFonts w:ascii="Times New Roman" w:hAnsi="Times New Roman" w:eastAsia="Times New Roman"/>
          <w:i/>
          <w:sz w:val="24"/>
        </w:rPr>
        <w:t>M</w:t>
      </w:r>
      <w:r>
        <w:rPr>
          <w:rFonts w:ascii="Times New Roman" w:hAnsi="Times New Roman" w:eastAsia="Times New Roman"/>
          <w:sz w:val="24"/>
        </w:rPr>
        <w:t>., &amp; Xu, Z. (2025). The effects of personality traits on learning engagement among college students: The mediating role of emotion regulation. Frontiers in Psychology, 15, 1476437. https://doi.org/10.3389/fpsyg.2024.1476437</w:t>
      </w:r>
    </w:p>
    <w:p>
      <w:pPr>
        <w:spacing w:line="480" w:lineRule="auto" w:before="0" w:after="0"/>
        <w:ind w:left="720" w:hanging="720"/>
      </w:pPr>
      <w:r>
        <w:rPr>
          <w:rFonts w:ascii="Times New Roman" w:hAnsi="Times New Roman" w:eastAsia="Times New Roman"/>
          <w:sz w:val="24"/>
        </w:rPr>
        <w:t xml:space="preserve">Duval, S., &amp; Tweedie, R. (2000). Trim and fill: A simple funnel-plot-based method of testing and adjusting for publication bias in meta-analysis. </w:t>
      </w:r>
      <w:r>
        <w:rPr>
          <w:rFonts w:ascii="Times New Roman" w:hAnsi="Times New Roman" w:eastAsia="Times New Roman"/>
          <w:i/>
          <w:sz w:val="24"/>
        </w:rPr>
        <w:t>Biometrics, 56</w:t>
      </w:r>
      <w:r>
        <w:rPr>
          <w:rFonts w:ascii="Times New Roman" w:hAnsi="Times New Roman" w:eastAsia="Times New Roman"/>
          <w:sz w:val="24"/>
        </w:rPr>
        <w:t>(2), 455–463. https://doi.org/10.1111/j.0006-341x.2000.00455.x</w:t>
      </w:r>
    </w:p>
    <w:p>
      <w:pPr>
        <w:spacing w:line="480" w:lineRule="auto" w:before="0" w:after="0"/>
        <w:ind w:left="720" w:hanging="720"/>
      </w:pPr>
      <w:r>
        <w:rPr>
          <w:rFonts w:ascii="Times New Roman" w:hAnsi="Times New Roman" w:eastAsia="Times New Roman"/>
          <w:sz w:val="24"/>
        </w:rPr>
        <w:t xml:space="preserve">Egger, </w:t>
      </w:r>
      <w:r>
        <w:rPr>
          <w:rFonts w:ascii="Times New Roman" w:hAnsi="Times New Roman" w:eastAsia="Times New Roman"/>
          <w:i/>
          <w:sz w:val="24"/>
        </w:rPr>
        <w:t>M</w:t>
      </w:r>
      <w:r>
        <w:rPr>
          <w:rFonts w:ascii="Times New Roman" w:hAnsi="Times New Roman" w:eastAsia="Times New Roman"/>
          <w:sz w:val="24"/>
        </w:rPr>
        <w:t xml:space="preserve">., Davey Smith, G., Schneider, </w:t>
      </w:r>
      <w:r>
        <w:rPr>
          <w:rFonts w:ascii="Times New Roman" w:hAnsi="Times New Roman" w:eastAsia="Times New Roman"/>
          <w:i/>
          <w:sz w:val="24"/>
        </w:rPr>
        <w:t>M</w:t>
      </w:r>
      <w:r>
        <w:rPr>
          <w:rFonts w:ascii="Times New Roman" w:hAnsi="Times New Roman" w:eastAsia="Times New Roman"/>
          <w:sz w:val="24"/>
        </w:rPr>
        <w:t>., &amp; Minder, C. (1997). Bias in meta-analysis detected by a simple, graphical test. BMJ, 315(7109), 629–634. https://doi.org/10.1136/bmj.315.7109.629</w:t>
      </w:r>
    </w:p>
    <w:p>
      <w:pPr>
        <w:spacing w:line="480" w:lineRule="auto" w:before="0" w:after="0"/>
        <w:ind w:left="720" w:hanging="720"/>
      </w:pPr>
      <w:r>
        <w:rPr>
          <w:rFonts w:ascii="Times New Roman" w:hAnsi="Times New Roman" w:eastAsia="Times New Roman"/>
          <w:sz w:val="24"/>
        </w:rPr>
        <w:t xml:space="preserve">Eilam, B., Zeidner, </w:t>
      </w:r>
      <w:r>
        <w:rPr>
          <w:rFonts w:ascii="Times New Roman" w:hAnsi="Times New Roman" w:eastAsia="Times New Roman"/>
          <w:i/>
          <w:sz w:val="24"/>
        </w:rPr>
        <w:t>M</w:t>
      </w:r>
      <w:r>
        <w:rPr>
          <w:rFonts w:ascii="Times New Roman" w:hAnsi="Times New Roman" w:eastAsia="Times New Roman"/>
          <w:sz w:val="24"/>
        </w:rPr>
        <w:t>., &amp; Aharon, I. (2009). Student conscientiousness, self-regulated learning, and science achievement: An explorative field study. Psychology in the Schools, 46(5), 420–432. https://doi.org/10.1002/pits.20387</w:t>
      </w:r>
    </w:p>
    <w:p>
      <w:pPr>
        <w:spacing w:line="480" w:lineRule="auto" w:before="0" w:after="0"/>
        <w:ind w:left="720" w:hanging="720"/>
      </w:pPr>
      <w:r>
        <w:rPr>
          <w:rFonts w:ascii="Times New Roman" w:hAnsi="Times New Roman" w:eastAsia="Times New Roman"/>
          <w:sz w:val="24"/>
        </w:rPr>
        <w:t xml:space="preserve">Elvers, G. C., Polzella, D. J., &amp; Graetz, K. (2003). Procrastination in online courses: Performance and attitudinal differences. </w:t>
      </w:r>
      <w:r>
        <w:rPr>
          <w:rFonts w:ascii="Times New Roman" w:hAnsi="Times New Roman" w:eastAsia="Times New Roman"/>
          <w:i/>
          <w:sz w:val="24"/>
        </w:rPr>
        <w:t>Teaching of Psychology, 30</w:t>
      </w:r>
      <w:r>
        <w:rPr>
          <w:rFonts w:ascii="Times New Roman" w:hAnsi="Times New Roman" w:eastAsia="Times New Roman"/>
          <w:sz w:val="24"/>
        </w:rPr>
        <w:t>(2), 159–162. https://doi.org/10.1207/S15328023TOP3002_13</w:t>
      </w:r>
    </w:p>
    <w:p>
      <w:pPr>
        <w:spacing w:line="480" w:lineRule="auto" w:before="0" w:after="0"/>
        <w:ind w:left="720" w:hanging="720"/>
      </w:pPr>
      <w:r>
        <w:rPr>
          <w:rFonts w:ascii="Times New Roman" w:hAnsi="Times New Roman" w:eastAsia="Times New Roman"/>
          <w:sz w:val="24"/>
        </w:rPr>
        <w:t xml:space="preserve">Gignac, G. E., &amp; Szodorai, E. T. (2016). Effect size guidelines for individual differences researchers. </w:t>
      </w:r>
      <w:r>
        <w:rPr>
          <w:rFonts w:ascii="Times New Roman" w:hAnsi="Times New Roman" w:eastAsia="Times New Roman"/>
          <w:i/>
          <w:sz w:val="24"/>
        </w:rPr>
        <w:t>Personality and Individual Differences, 102</w:t>
      </w:r>
      <w:r>
        <w:rPr>
          <w:rFonts w:ascii="Times New Roman" w:hAnsi="Times New Roman" w:eastAsia="Times New Roman"/>
          <w:sz w:val="24"/>
        </w:rPr>
        <w:t>, 74–78. https://doi.org/10.1016/j.paid.2016.06.069</w:t>
      </w:r>
    </w:p>
    <w:p>
      <w:pPr>
        <w:spacing w:line="480" w:lineRule="auto" w:before="0" w:after="0"/>
        <w:ind w:left="720" w:hanging="720"/>
      </w:pPr>
      <w:r>
        <w:rPr>
          <w:rFonts w:ascii="Times New Roman" w:hAnsi="Times New Roman" w:eastAsia="Times New Roman"/>
          <w:sz w:val="24"/>
        </w:rPr>
        <w:t xml:space="preserve">Harrer, </w:t>
      </w:r>
      <w:r>
        <w:rPr>
          <w:rFonts w:ascii="Times New Roman" w:hAnsi="Times New Roman" w:eastAsia="Times New Roman"/>
          <w:i/>
          <w:sz w:val="24"/>
        </w:rPr>
        <w:t>M</w:t>
      </w:r>
      <w:r>
        <w:rPr>
          <w:rFonts w:ascii="Times New Roman" w:hAnsi="Times New Roman" w:eastAsia="Times New Roman"/>
          <w:sz w:val="24"/>
        </w:rPr>
        <w:t>., Cuijpers, P., Furukawa, T. A., &amp; Ebert, D. D. (2021). Doing meta-analysis with R: A hands-on guide. Chapman &amp; Hall/CRC Press.</w:t>
      </w:r>
    </w:p>
    <w:p>
      <w:pPr>
        <w:spacing w:line="480" w:lineRule="auto" w:before="0" w:after="0"/>
        <w:ind w:left="720" w:hanging="720"/>
      </w:pPr>
      <w:r>
        <w:rPr>
          <w:rFonts w:ascii="Times New Roman" w:hAnsi="Times New Roman" w:eastAsia="Times New Roman"/>
          <w:sz w:val="24"/>
        </w:rPr>
        <w:t xml:space="preserve">Hidalgo-Fuentes, S., Martínez-Álvarez, I., Llamas-Salguero, </w:t>
      </w:r>
      <w:r>
        <w:rPr>
          <w:rFonts w:ascii="Times New Roman" w:hAnsi="Times New Roman" w:eastAsia="Times New Roman"/>
          <w:i/>
          <w:sz w:val="24"/>
        </w:rPr>
        <w:t>F</w:t>
      </w:r>
      <w:r>
        <w:rPr>
          <w:rFonts w:ascii="Times New Roman" w:hAnsi="Times New Roman" w:eastAsia="Times New Roman"/>
          <w:sz w:val="24"/>
        </w:rPr>
        <w:t xml:space="preserve">., Pineda-Zelaya, I. S., Merino-Soto, C., &amp; Chans, G. </w:t>
      </w:r>
      <w:r>
        <w:rPr>
          <w:rFonts w:ascii="Times New Roman" w:hAnsi="Times New Roman" w:eastAsia="Times New Roman"/>
          <w:i/>
          <w:sz w:val="24"/>
        </w:rPr>
        <w:t>M</w:t>
      </w:r>
      <w:r>
        <w:rPr>
          <w:rFonts w:ascii="Times New Roman" w:hAnsi="Times New Roman" w:eastAsia="Times New Roman"/>
          <w:sz w:val="24"/>
        </w:rPr>
        <w:t>. (2024). The role of big five traits and self-esteem on academic procrastination in Honduran and Spanish university students: A cross-cultural study. Heliyon, 10(17), e36172. https://doi.org/10.1016/j.heliyon.2024.e36172</w:t>
      </w:r>
    </w:p>
    <w:p>
      <w:pPr>
        <w:spacing w:line="480" w:lineRule="auto" w:before="0" w:after="0"/>
        <w:ind w:left="720" w:hanging="720"/>
      </w:pPr>
      <w:r>
        <w:rPr>
          <w:rFonts w:ascii="Times New Roman" w:hAnsi="Times New Roman" w:eastAsia="Times New Roman"/>
          <w:sz w:val="24"/>
        </w:rPr>
        <w:t xml:space="preserve">Hunter, E. G., Niblock, J., Barefoot, S., Miller, J., Hughes, J., Kite, L., &amp; Scarletto, E. (2025). The influence of student personality traits on satisfaction and success in online education in higher education: A systematic review. </w:t>
      </w:r>
      <w:r>
        <w:rPr>
          <w:rFonts w:ascii="Times New Roman" w:hAnsi="Times New Roman" w:eastAsia="Times New Roman"/>
          <w:i/>
          <w:sz w:val="24"/>
        </w:rPr>
        <w:t>Journal of Occupational Therapy Education, 9</w:t>
      </w:r>
      <w:r>
        <w:rPr>
          <w:rFonts w:ascii="Times New Roman" w:hAnsi="Times New Roman" w:eastAsia="Times New Roman"/>
          <w:sz w:val="24"/>
        </w:rPr>
        <w:t>(2), Article 9. https://doi.org/10.26681/jote.2025.090209</w:t>
      </w:r>
    </w:p>
    <w:p>
      <w:pPr>
        <w:spacing w:line="480" w:lineRule="auto" w:before="0" w:after="0"/>
        <w:ind w:left="720" w:hanging="720"/>
      </w:pPr>
      <w:r>
        <w:rPr>
          <w:rFonts w:ascii="Times New Roman" w:hAnsi="Times New Roman" w:eastAsia="Times New Roman"/>
          <w:sz w:val="24"/>
        </w:rPr>
        <w:t xml:space="preserve">IntHout, J., Ioannidis, J. P. A., &amp; Borm, G. </w:t>
      </w:r>
      <w:r>
        <w:rPr>
          <w:rFonts w:ascii="Times New Roman" w:hAnsi="Times New Roman" w:eastAsia="Times New Roman"/>
          <w:i/>
          <w:sz w:val="24"/>
        </w:rPr>
        <w:t>F</w:t>
      </w:r>
      <w:r>
        <w:rPr>
          <w:rFonts w:ascii="Times New Roman" w:hAnsi="Times New Roman" w:eastAsia="Times New Roman"/>
          <w:sz w:val="24"/>
        </w:rPr>
        <w:t>. (2014). The Hartung-Knapp-Sidik-Jonkman method for random effects meta-analysis is straightforward and considerably outperforms the standard DerSimonian-Laird method. BMC Medical Research Methodology, 14, 25. https://doi.org/10.1186/1471-2288-14-25</w:t>
      </w:r>
    </w:p>
    <w:p>
      <w:pPr>
        <w:spacing w:line="480" w:lineRule="auto" w:before="0" w:after="0"/>
        <w:ind w:left="720" w:hanging="720"/>
      </w:pPr>
      <w:r>
        <w:rPr>
          <w:rFonts w:ascii="Times New Roman" w:hAnsi="Times New Roman" w:eastAsia="Times New Roman"/>
          <w:sz w:val="24"/>
        </w:rPr>
        <w:t xml:space="preserve">Kara, A., Ergulec, </w:t>
      </w:r>
      <w:r>
        <w:rPr>
          <w:rFonts w:ascii="Times New Roman" w:hAnsi="Times New Roman" w:eastAsia="Times New Roman"/>
          <w:i/>
          <w:sz w:val="24"/>
        </w:rPr>
        <w:t>F</w:t>
      </w:r>
      <w:r>
        <w:rPr>
          <w:rFonts w:ascii="Times New Roman" w:hAnsi="Times New Roman" w:eastAsia="Times New Roman"/>
          <w:sz w:val="24"/>
        </w:rPr>
        <w:t>., &amp; Eren, E. (2024). The mediating role of self-regulated online learning behaviors: Exploring the impact of personality traits on student engagement. Education and Information Technologies, 29, 23517–23546. https://doi.org/10.1007/s10639-024-12755-3</w:t>
      </w:r>
    </w:p>
    <w:p>
      <w:pPr>
        <w:spacing w:line="480" w:lineRule="auto" w:before="0" w:after="0"/>
        <w:ind w:left="720" w:hanging="720"/>
      </w:pPr>
      <w:r>
        <w:rPr>
          <w:rFonts w:ascii="Times New Roman" w:hAnsi="Times New Roman" w:eastAsia="Times New Roman"/>
          <w:sz w:val="24"/>
        </w:rPr>
        <w:t xml:space="preserve">Kaspar, K., Burtniak, K., &amp; Rüth, </w:t>
      </w:r>
      <w:r>
        <w:rPr>
          <w:rFonts w:ascii="Times New Roman" w:hAnsi="Times New Roman" w:eastAsia="Times New Roman"/>
          <w:i/>
          <w:sz w:val="24"/>
        </w:rPr>
        <w:t>M</w:t>
      </w:r>
      <w:r>
        <w:rPr>
          <w:rFonts w:ascii="Times New Roman" w:hAnsi="Times New Roman" w:eastAsia="Times New Roman"/>
          <w:sz w:val="24"/>
        </w:rPr>
        <w:t>. (2023). Online learning during the Covid-19 pandemic: How university students' perceptions, engagement, and performance are related to their personal characteristics. Current Psychology. Advance online publication. https://doi.org/10.1007/s12144-023-04403-9</w:t>
      </w:r>
    </w:p>
    <w:p>
      <w:pPr>
        <w:spacing w:line="480" w:lineRule="auto" w:before="0" w:after="0"/>
        <w:ind w:left="720" w:hanging="720"/>
      </w:pPr>
      <w:r>
        <w:rPr>
          <w:rFonts w:ascii="Times New Roman" w:hAnsi="Times New Roman" w:eastAsia="Times New Roman"/>
          <w:sz w:val="24"/>
        </w:rPr>
        <w:t xml:space="preserve">Keller, H., &amp; Karau, S. J. (2013). The importance of personality in students' perceptions of the online learning experience. </w:t>
      </w:r>
      <w:r>
        <w:rPr>
          <w:rFonts w:ascii="Times New Roman" w:hAnsi="Times New Roman" w:eastAsia="Times New Roman"/>
          <w:i/>
          <w:sz w:val="24"/>
        </w:rPr>
        <w:t>Computers in Human Behavior, 29</w:t>
      </w:r>
      <w:r>
        <w:rPr>
          <w:rFonts w:ascii="Times New Roman" w:hAnsi="Times New Roman" w:eastAsia="Times New Roman"/>
          <w:sz w:val="24"/>
        </w:rPr>
        <w:t>(6), 2494–2500. https://doi.org/10.1016/j.chb.2013.06.007</w:t>
      </w:r>
    </w:p>
    <w:p>
      <w:pPr>
        <w:spacing w:line="480" w:lineRule="auto" w:before="0" w:after="0"/>
        <w:ind w:left="720" w:hanging="720"/>
      </w:pPr>
      <w:r>
        <w:rPr>
          <w:rFonts w:ascii="Times New Roman" w:hAnsi="Times New Roman" w:eastAsia="Times New Roman"/>
          <w:sz w:val="24"/>
        </w:rPr>
        <w:t xml:space="preserve">MacLean, K. A. (2022). </w:t>
      </w:r>
      <w:r>
        <w:rPr>
          <w:rFonts w:ascii="Times New Roman" w:hAnsi="Times New Roman" w:eastAsia="Times New Roman"/>
          <w:i/>
          <w:sz w:val="24"/>
        </w:rPr>
        <w:t>Endorsed, or just enforced? Personality and preferences for online learning during COVID-19</w:t>
      </w:r>
      <w:r>
        <w:rPr>
          <w:rFonts w:ascii="Times New Roman" w:hAnsi="Times New Roman" w:eastAsia="Times New Roman"/>
          <w:sz w:val="24"/>
        </w:rPr>
        <w:t xml:space="preserve"> [Master's thesis, University of Calgary]. PRISM Repository.</w:t>
      </w:r>
    </w:p>
    <w:p>
      <w:pPr>
        <w:spacing w:line="480" w:lineRule="auto" w:before="0" w:after="0"/>
        <w:ind w:left="720" w:hanging="720"/>
      </w:pPr>
      <w:r>
        <w:rPr>
          <w:rFonts w:ascii="Times New Roman" w:hAnsi="Times New Roman" w:eastAsia="Times New Roman"/>
          <w:sz w:val="24"/>
        </w:rPr>
        <w:t xml:space="preserve">Mammadov, S. (2022). Big Five personality traits and academic performance: A meta-analysis. </w:t>
      </w:r>
      <w:r>
        <w:rPr>
          <w:rFonts w:ascii="Times New Roman" w:hAnsi="Times New Roman" w:eastAsia="Times New Roman"/>
          <w:i/>
          <w:sz w:val="24"/>
        </w:rPr>
        <w:t>Journal of Personality, 90</w:t>
      </w:r>
      <w:r>
        <w:rPr>
          <w:rFonts w:ascii="Times New Roman" w:hAnsi="Times New Roman" w:eastAsia="Times New Roman"/>
          <w:sz w:val="24"/>
        </w:rPr>
        <w:t>(2), 222–255. https://doi.org/10.1111/jopy.12663</w:t>
      </w:r>
    </w:p>
    <w:p>
      <w:pPr>
        <w:spacing w:line="480" w:lineRule="auto" w:before="0" w:after="0"/>
        <w:ind w:left="720" w:hanging="720"/>
      </w:pPr>
      <w:r>
        <w:rPr>
          <w:rFonts w:ascii="Times New Roman" w:hAnsi="Times New Roman" w:eastAsia="Times New Roman"/>
          <w:sz w:val="24"/>
        </w:rPr>
        <w:t xml:space="preserve">McAbee, S. T., &amp; Oswald, </w:t>
      </w:r>
      <w:r>
        <w:rPr>
          <w:rFonts w:ascii="Times New Roman" w:hAnsi="Times New Roman" w:eastAsia="Times New Roman"/>
          <w:i/>
          <w:sz w:val="24"/>
        </w:rPr>
        <w:t>F</w:t>
      </w:r>
      <w:r>
        <w:rPr>
          <w:rFonts w:ascii="Times New Roman" w:hAnsi="Times New Roman" w:eastAsia="Times New Roman"/>
          <w:sz w:val="24"/>
        </w:rPr>
        <w:t>. L. (2013). The criterion-related validity of personality measures for predicting GPA: A meta-analytic validity competition. Psychological Assessment, 25(2), 532–544. https://doi.org/10.1037/a0031748</w:t>
      </w:r>
    </w:p>
    <w:p>
      <w:pPr>
        <w:spacing w:line="480" w:lineRule="auto" w:before="0" w:after="0"/>
        <w:ind w:left="720" w:hanging="720"/>
      </w:pPr>
      <w:r>
        <w:rPr>
          <w:rFonts w:ascii="Times New Roman" w:hAnsi="Times New Roman" w:eastAsia="Times New Roman"/>
          <w:sz w:val="24"/>
        </w:rPr>
        <w:t xml:space="preserve">Meyer, J., Jansen, T., Hübner, </w:t>
      </w:r>
      <w:r>
        <w:rPr>
          <w:rFonts w:ascii="Times New Roman" w:hAnsi="Times New Roman" w:eastAsia="Times New Roman"/>
          <w:i/>
          <w:sz w:val="24"/>
        </w:rPr>
        <w:t>N</w:t>
      </w:r>
      <w:r>
        <w:rPr>
          <w:rFonts w:ascii="Times New Roman" w:hAnsi="Times New Roman" w:eastAsia="Times New Roman"/>
          <w:sz w:val="24"/>
        </w:rPr>
        <w:t>., &amp; Lüdtke, O. (2023). Disentangling the association between the Big Five personality traits and student achievement: Meta-analytic evidence on the role of domain specificity and achievement measures. Educational Psychology Review, 35, Article 12. https://doi.org/10.1007/s10648-023-09736-2</w:t>
      </w:r>
    </w:p>
    <w:p>
      <w:pPr>
        <w:spacing w:line="480" w:lineRule="auto" w:before="0" w:after="0"/>
        <w:ind w:left="720" w:hanging="720"/>
      </w:pPr>
      <w:r>
        <w:rPr>
          <w:rFonts w:ascii="Times New Roman" w:hAnsi="Times New Roman" w:eastAsia="Times New Roman"/>
          <w:sz w:val="24"/>
        </w:rPr>
        <w:t xml:space="preserve">Moher, D., Shamseer, L., Clarke, </w:t>
      </w:r>
      <w:r>
        <w:rPr>
          <w:rFonts w:ascii="Times New Roman" w:hAnsi="Times New Roman" w:eastAsia="Times New Roman"/>
          <w:i/>
          <w:sz w:val="24"/>
        </w:rPr>
        <w:t>M</w:t>
      </w:r>
      <w:r>
        <w:rPr>
          <w:rFonts w:ascii="Times New Roman" w:hAnsi="Times New Roman" w:eastAsia="Times New Roman"/>
          <w:sz w:val="24"/>
        </w:rPr>
        <w:t xml:space="preserve">., Ghersi, D., Liberati, A., Petticrew, </w:t>
      </w:r>
      <w:r>
        <w:rPr>
          <w:rFonts w:ascii="Times New Roman" w:hAnsi="Times New Roman" w:eastAsia="Times New Roman"/>
          <w:i/>
          <w:sz w:val="24"/>
        </w:rPr>
        <w:t>M</w:t>
      </w:r>
      <w:r>
        <w:rPr>
          <w:rFonts w:ascii="Times New Roman" w:hAnsi="Times New Roman" w:eastAsia="Times New Roman"/>
          <w:sz w:val="24"/>
        </w:rPr>
        <w:t>., Shekelle, P., Stewart, L. A., &amp; PRISMA-P Group. (2015). Preferred reporting items for systematic review and meta-analysis protocols (PRISMA-P) 2015 statement. Systematic Reviews, 4(1), 1. https://doi.org/10.1186/2046-4053-4-1</w:t>
      </w:r>
    </w:p>
    <w:p>
      <w:pPr>
        <w:spacing w:line="480" w:lineRule="auto" w:before="0" w:after="0"/>
        <w:ind w:left="720" w:hanging="720"/>
      </w:pPr>
      <w:r>
        <w:rPr>
          <w:rFonts w:ascii="Times New Roman" w:hAnsi="Times New Roman" w:eastAsia="Times New Roman"/>
          <w:sz w:val="24"/>
        </w:rPr>
        <w:t xml:space="preserve">Moola, S., Munn, Z., Tufanaru, C., Aromataris, E., Sears, K., Sfetcu, R., Currie, </w:t>
      </w:r>
      <w:r>
        <w:rPr>
          <w:rFonts w:ascii="Times New Roman" w:hAnsi="Times New Roman" w:eastAsia="Times New Roman"/>
          <w:i/>
          <w:sz w:val="24"/>
        </w:rPr>
        <w:t>M</w:t>
      </w:r>
      <w:r>
        <w:rPr>
          <w:rFonts w:ascii="Times New Roman" w:hAnsi="Times New Roman" w:eastAsia="Times New Roman"/>
          <w:sz w:val="24"/>
        </w:rPr>
        <w:t>., Qureshi, R., Mattis, P., Lisy, K., &amp; Mu, P.-F. (2017). Chapter 7: Systematic reviews of etiology and risk. In E. Aromataris &amp; Z. Munn (Eds.), Joanna Briggs Institute Reviewer's Manual. The Joanna Briggs Institute.</w:t>
      </w:r>
    </w:p>
    <w:p>
      <w:pPr>
        <w:spacing w:line="480" w:lineRule="auto" w:before="0" w:after="0"/>
        <w:ind w:left="720" w:hanging="720"/>
      </w:pPr>
      <w:r>
        <w:rPr>
          <w:rFonts w:ascii="Times New Roman" w:hAnsi="Times New Roman" w:eastAsia="Times New Roman"/>
          <w:sz w:val="24"/>
        </w:rPr>
        <w:t xml:space="preserve">Mustafa, S., Qiao, Y., Yan, X., Anwar, A., Hao, T., &amp; Rana, S. (2022). Digital students' satisfaction with and intention to use online teaching modes, role of Big Five personality traits. </w:t>
      </w:r>
      <w:r>
        <w:rPr>
          <w:rFonts w:ascii="Times New Roman" w:hAnsi="Times New Roman" w:eastAsia="Times New Roman"/>
          <w:i/>
          <w:sz w:val="24"/>
        </w:rPr>
        <w:t>Frontiers in Psychology, 13</w:t>
      </w:r>
      <w:r>
        <w:rPr>
          <w:rFonts w:ascii="Times New Roman" w:hAnsi="Times New Roman" w:eastAsia="Times New Roman"/>
          <w:sz w:val="24"/>
        </w:rPr>
        <w:t>, 956281. https://doi.org/10.3389/fpsyg.2022.956281</w:t>
      </w:r>
    </w:p>
    <w:p>
      <w:pPr>
        <w:spacing w:line="480" w:lineRule="auto" w:before="0" w:after="0"/>
        <w:ind w:left="720" w:hanging="720"/>
      </w:pPr>
      <w:r>
        <w:rPr>
          <w:rFonts w:ascii="Times New Roman" w:hAnsi="Times New Roman" w:eastAsia="Times New Roman"/>
          <w:sz w:val="24"/>
        </w:rPr>
        <w:t xml:space="preserve">Nakayama, </w:t>
      </w:r>
      <w:r>
        <w:rPr>
          <w:rFonts w:ascii="Times New Roman" w:hAnsi="Times New Roman" w:eastAsia="Times New Roman"/>
          <w:i/>
          <w:sz w:val="24"/>
        </w:rPr>
        <w:t>M</w:t>
      </w:r>
      <w:r>
        <w:rPr>
          <w:rFonts w:ascii="Times New Roman" w:hAnsi="Times New Roman" w:eastAsia="Times New Roman"/>
          <w:sz w:val="24"/>
        </w:rPr>
        <w:t>., Mutsuura, K., &amp; Yamamoto, H. (2014). Impact of learner's characteristics and learning behaviour on learning performance during a fully online course. Electronic Journal of e-Learning, 12(4), 394–408.</w:t>
      </w:r>
    </w:p>
    <w:p>
      <w:pPr>
        <w:spacing w:line="480" w:lineRule="auto" w:before="0" w:after="0"/>
        <w:ind w:left="720" w:hanging="720"/>
      </w:pPr>
      <w:r>
        <w:rPr>
          <w:rFonts w:ascii="Times New Roman" w:hAnsi="Times New Roman" w:eastAsia="Times New Roman"/>
          <w:sz w:val="24"/>
        </w:rPr>
        <w:t xml:space="preserve">Page, </w:t>
      </w:r>
      <w:r>
        <w:rPr>
          <w:rFonts w:ascii="Times New Roman" w:hAnsi="Times New Roman" w:eastAsia="Times New Roman"/>
          <w:i/>
          <w:sz w:val="24"/>
        </w:rPr>
        <w:t>M</w:t>
      </w:r>
      <w:r>
        <w:rPr>
          <w:rFonts w:ascii="Times New Roman" w:hAnsi="Times New Roman" w:eastAsia="Times New Roman"/>
          <w:sz w:val="24"/>
        </w:rPr>
        <w:t xml:space="preserve">. J., McKenzie, J. E., Bossuyt, P. </w:t>
      </w:r>
      <w:r>
        <w:rPr>
          <w:rFonts w:ascii="Times New Roman" w:hAnsi="Times New Roman" w:eastAsia="Times New Roman"/>
          <w:i/>
          <w:sz w:val="24"/>
        </w:rPr>
        <w:t>M</w:t>
      </w:r>
      <w:r>
        <w:rPr>
          <w:rFonts w:ascii="Times New Roman" w:hAnsi="Times New Roman" w:eastAsia="Times New Roman"/>
          <w:sz w:val="24"/>
        </w:rPr>
        <w:t xml:space="preserve">., Boutron, I., Hoffmann, T. C., Mulrow, C. D., Shamseer, L., Tetzlaff, J. </w:t>
      </w:r>
      <w:r>
        <w:rPr>
          <w:rFonts w:ascii="Times New Roman" w:hAnsi="Times New Roman" w:eastAsia="Times New Roman"/>
          <w:i/>
          <w:sz w:val="24"/>
        </w:rPr>
        <w:t>M</w:t>
      </w:r>
      <w:r>
        <w:rPr>
          <w:rFonts w:ascii="Times New Roman" w:hAnsi="Times New Roman" w:eastAsia="Times New Roman"/>
          <w:sz w:val="24"/>
        </w:rPr>
        <w:t xml:space="preserve">., Akl, E. A., Brennan, S. E., Chou, R., Glanville, J., Grimshaw, J. </w:t>
      </w:r>
      <w:r>
        <w:rPr>
          <w:rFonts w:ascii="Times New Roman" w:hAnsi="Times New Roman" w:eastAsia="Times New Roman"/>
          <w:i/>
          <w:sz w:val="24"/>
        </w:rPr>
        <w:t>M</w:t>
      </w:r>
      <w:r>
        <w:rPr>
          <w:rFonts w:ascii="Times New Roman" w:hAnsi="Times New Roman" w:eastAsia="Times New Roman"/>
          <w:sz w:val="24"/>
        </w:rPr>
        <w:t xml:space="preserve">., Hróbjartsson, A., Lalu, </w:t>
      </w:r>
      <w:r>
        <w:rPr>
          <w:rFonts w:ascii="Times New Roman" w:hAnsi="Times New Roman" w:eastAsia="Times New Roman"/>
          <w:i/>
          <w:sz w:val="24"/>
        </w:rPr>
        <w:t>M</w:t>
      </w:r>
      <w:r>
        <w:rPr>
          <w:rFonts w:ascii="Times New Roman" w:hAnsi="Times New Roman" w:eastAsia="Times New Roman"/>
          <w:sz w:val="24"/>
        </w:rPr>
        <w:t xml:space="preserve">. </w:t>
      </w:r>
      <w:r>
        <w:rPr>
          <w:rFonts w:ascii="Times New Roman" w:hAnsi="Times New Roman" w:eastAsia="Times New Roman"/>
          <w:i/>
          <w:sz w:val="24"/>
        </w:rPr>
        <w:t>M</w:t>
      </w:r>
      <w:r>
        <w:rPr>
          <w:rFonts w:ascii="Times New Roman" w:hAnsi="Times New Roman" w:eastAsia="Times New Roman"/>
          <w:sz w:val="24"/>
        </w:rPr>
        <w:t>., Li, T., Loder, E. W., Mayo-Wilson, E., McDonald, S., … Moher, D. (2021). The PRISMA 2020 statement: An updated guideline for reporting systematic reviews. BMJ, 372, n71. https://doi.org/10.1136/bmj.n71</w:t>
      </w:r>
    </w:p>
    <w:p>
      <w:pPr>
        <w:spacing w:line="480" w:lineRule="auto" w:before="0" w:after="0"/>
        <w:ind w:left="720" w:hanging="720"/>
      </w:pPr>
      <w:r>
        <w:rPr>
          <w:rFonts w:ascii="Times New Roman" w:hAnsi="Times New Roman" w:eastAsia="Times New Roman"/>
          <w:sz w:val="24"/>
        </w:rPr>
        <w:t xml:space="preserve">Paulhus, D. L. (1998). Interpersonal and intrapsychic adaptiveness of trait self-enhancement: A mixed blessing? </w:t>
      </w:r>
      <w:r>
        <w:rPr>
          <w:rFonts w:ascii="Times New Roman" w:hAnsi="Times New Roman" w:eastAsia="Times New Roman"/>
          <w:i/>
          <w:sz w:val="24"/>
        </w:rPr>
        <w:t>Journal of Personality and Social Psychology, 74</w:t>
      </w:r>
      <w:r>
        <w:rPr>
          <w:rFonts w:ascii="Times New Roman" w:hAnsi="Times New Roman" w:eastAsia="Times New Roman"/>
          <w:sz w:val="24"/>
        </w:rPr>
        <w:t>(5), 1197–1208. https://doi.org/10.1037/0022-3514.74.5.1197</w:t>
      </w:r>
    </w:p>
    <w:p>
      <w:pPr>
        <w:spacing w:line="480" w:lineRule="auto" w:before="0" w:after="0"/>
        <w:ind w:left="720" w:hanging="720"/>
      </w:pPr>
      <w:r>
        <w:rPr>
          <w:rFonts w:ascii="Times New Roman" w:hAnsi="Times New Roman" w:eastAsia="Times New Roman"/>
          <w:sz w:val="24"/>
        </w:rPr>
        <w:t xml:space="preserve">Peterson, R. A., &amp; Brown, S. P. (2005). On the use of beta coefficients in meta-analysis. </w:t>
      </w:r>
      <w:r>
        <w:rPr>
          <w:rFonts w:ascii="Times New Roman" w:hAnsi="Times New Roman" w:eastAsia="Times New Roman"/>
          <w:i/>
          <w:sz w:val="24"/>
        </w:rPr>
        <w:t>Journal of Applied Psychology, 90</w:t>
      </w:r>
      <w:r>
        <w:rPr>
          <w:rFonts w:ascii="Times New Roman" w:hAnsi="Times New Roman" w:eastAsia="Times New Roman"/>
          <w:sz w:val="24"/>
        </w:rPr>
        <w:t>(1), 175–181. https://doi.org/10.1037/0021-9010.90.1.175</w:t>
      </w:r>
    </w:p>
    <w:p>
      <w:pPr>
        <w:spacing w:line="480" w:lineRule="auto" w:before="0" w:after="0"/>
        <w:ind w:left="720" w:hanging="720"/>
      </w:pPr>
      <w:r>
        <w:rPr>
          <w:rFonts w:ascii="Times New Roman" w:hAnsi="Times New Roman" w:eastAsia="Times New Roman"/>
          <w:sz w:val="24"/>
        </w:rPr>
        <w:t xml:space="preserve">Poropat, A. E. (2009). A meta-analysis of the five-factor model of personality and academic performance. </w:t>
      </w:r>
      <w:r>
        <w:rPr>
          <w:rFonts w:ascii="Times New Roman" w:hAnsi="Times New Roman" w:eastAsia="Times New Roman"/>
          <w:i/>
          <w:sz w:val="24"/>
        </w:rPr>
        <w:t>Psychological Bulletin, 135</w:t>
      </w:r>
      <w:r>
        <w:rPr>
          <w:rFonts w:ascii="Times New Roman" w:hAnsi="Times New Roman" w:eastAsia="Times New Roman"/>
          <w:sz w:val="24"/>
        </w:rPr>
        <w:t>(2), 322–338. https://doi.org/10.1037/a0014996</w:t>
      </w:r>
    </w:p>
    <w:p>
      <w:pPr>
        <w:spacing w:line="480" w:lineRule="auto" w:before="0" w:after="0"/>
        <w:ind w:left="720" w:hanging="720"/>
      </w:pPr>
      <w:r>
        <w:rPr>
          <w:rFonts w:ascii="Times New Roman" w:hAnsi="Times New Roman" w:eastAsia="Times New Roman"/>
          <w:sz w:val="24"/>
        </w:rPr>
        <w:t xml:space="preserve">Pustejovsky, J. E. (2023). </w:t>
      </w:r>
      <w:r>
        <w:rPr>
          <w:rFonts w:ascii="Times New Roman" w:hAnsi="Times New Roman" w:eastAsia="Times New Roman"/>
          <w:i/>
          <w:sz w:val="24"/>
        </w:rPr>
        <w:t>clubSandwich: Cluster-robust (sandwich) variance estimators with small-sample corrections</w:t>
      </w:r>
      <w:r>
        <w:rPr>
          <w:rFonts w:ascii="Times New Roman" w:hAnsi="Times New Roman" w:eastAsia="Times New Roman"/>
          <w:sz w:val="24"/>
        </w:rPr>
        <w:t xml:space="preserve"> (R package version 0.5.10) [Computer software]. https://CRAN.R-project.org/package=clubSandwich</w:t>
      </w:r>
    </w:p>
    <w:p>
      <w:pPr>
        <w:spacing w:line="480" w:lineRule="auto" w:before="0" w:after="0"/>
        <w:ind w:left="720" w:hanging="720"/>
      </w:pPr>
      <w:r>
        <w:rPr>
          <w:rFonts w:ascii="Times New Roman" w:hAnsi="Times New Roman" w:eastAsia="Times New Roman"/>
          <w:sz w:val="24"/>
        </w:rPr>
        <w:t xml:space="preserve">Quigley, </w:t>
      </w:r>
      <w:r>
        <w:rPr>
          <w:rFonts w:ascii="Times New Roman" w:hAnsi="Times New Roman" w:eastAsia="Times New Roman"/>
          <w:i/>
          <w:sz w:val="24"/>
        </w:rPr>
        <w:t>M</w:t>
      </w:r>
      <w:r>
        <w:rPr>
          <w:rFonts w:ascii="Times New Roman" w:hAnsi="Times New Roman" w:eastAsia="Times New Roman"/>
          <w:sz w:val="24"/>
        </w:rPr>
        <w:t>., Bradley, A., Playfoot, D., &amp; Harrad, R. (2022). Personality traits and stress perception as predictors of students' online engagement during the COVID-19 pandemic. Personality and Individual Differences, 194, 111645. https://doi.org/10.1016/j.paid.2022.111645</w:t>
      </w:r>
    </w:p>
    <w:p>
      <w:pPr>
        <w:spacing w:line="480" w:lineRule="auto" w:before="0" w:after="0"/>
        <w:ind w:left="720" w:hanging="720"/>
      </w:pPr>
      <w:r>
        <w:rPr>
          <w:rFonts w:ascii="Times New Roman" w:hAnsi="Times New Roman" w:eastAsia="Times New Roman"/>
          <w:sz w:val="24"/>
        </w:rPr>
        <w:t xml:space="preserve">Raudenbush, S. W. (2009). Analyzing effect sizes: Random-effects models. In H. Cooper, L. V. Hedges, &amp; J. C. Valentine (Eds.), </w:t>
      </w:r>
      <w:r>
        <w:rPr>
          <w:rFonts w:ascii="Times New Roman" w:hAnsi="Times New Roman" w:eastAsia="Times New Roman"/>
          <w:i/>
          <w:sz w:val="24"/>
        </w:rPr>
        <w:t>The handbook of research synthesis and meta-analysis</w:t>
      </w:r>
      <w:r>
        <w:rPr>
          <w:rFonts w:ascii="Times New Roman" w:hAnsi="Times New Roman" w:eastAsia="Times New Roman"/>
          <w:sz w:val="24"/>
        </w:rPr>
        <w:t xml:space="preserve"> (2nd ed., pp. 295–315). Russell Sage Foundation.</w:t>
      </w:r>
    </w:p>
    <w:p>
      <w:pPr>
        <w:spacing w:line="480" w:lineRule="auto" w:before="0" w:after="0"/>
        <w:ind w:left="720" w:hanging="720"/>
      </w:pPr>
      <w:r>
        <w:rPr>
          <w:rFonts w:ascii="Times New Roman" w:hAnsi="Times New Roman" w:eastAsia="Times New Roman"/>
          <w:sz w:val="24"/>
        </w:rPr>
        <w:t xml:space="preserve">Rivers, D. J. (2021). The role of personality traits and online academic self-efficacy in acceptance, actual use and achievement in Moodle. </w:t>
      </w:r>
      <w:r>
        <w:rPr>
          <w:rFonts w:ascii="Times New Roman" w:hAnsi="Times New Roman" w:eastAsia="Times New Roman"/>
          <w:i/>
          <w:sz w:val="24"/>
        </w:rPr>
        <w:t>Education and Information Technologies, 26</w:t>
      </w:r>
      <w:r>
        <w:rPr>
          <w:rFonts w:ascii="Times New Roman" w:hAnsi="Times New Roman" w:eastAsia="Times New Roman"/>
          <w:sz w:val="24"/>
        </w:rPr>
        <w:t>(4), 4353–4378. https://doi.org/10.1007/s10639-021-10478-3</w:t>
      </w:r>
    </w:p>
    <w:p>
      <w:pPr>
        <w:spacing w:line="480" w:lineRule="auto" w:before="0" w:after="0"/>
        <w:ind w:left="720" w:hanging="720"/>
      </w:pPr>
      <w:r>
        <w:rPr>
          <w:rFonts w:ascii="Times New Roman" w:hAnsi="Times New Roman" w:eastAsia="Times New Roman"/>
          <w:sz w:val="24"/>
        </w:rPr>
        <w:t xml:space="preserve">Rodrigues, J., Rose, R., &amp; Hewig, J. (2024). The relation of Big Five personality traits on academic performance, well-being and home study satisfaction in corona times. </w:t>
      </w:r>
      <w:r>
        <w:rPr>
          <w:rFonts w:ascii="Times New Roman" w:hAnsi="Times New Roman" w:eastAsia="Times New Roman"/>
          <w:i/>
          <w:sz w:val="24"/>
        </w:rPr>
        <w:t>European Journal of Investigation in Health, Psychology and Education, 14</w:t>
      </w:r>
      <w:r>
        <w:rPr>
          <w:rFonts w:ascii="Times New Roman" w:hAnsi="Times New Roman" w:eastAsia="Times New Roman"/>
          <w:sz w:val="24"/>
        </w:rPr>
        <w:t>(2), 368–384. https://doi.org/10.3390/ejihpe14020025</w:t>
      </w:r>
    </w:p>
    <w:p>
      <w:pPr>
        <w:spacing w:line="480" w:lineRule="auto" w:before="0" w:after="0"/>
        <w:ind w:left="720" w:hanging="720"/>
      </w:pPr>
      <w:r>
        <w:rPr>
          <w:rFonts w:ascii="Times New Roman" w:hAnsi="Times New Roman" w:eastAsia="Times New Roman"/>
          <w:sz w:val="24"/>
        </w:rPr>
        <w:t xml:space="preserve">Sahinidis, A. G., &amp; Tsaknis, P. A. (2021). Exploring the relationship of the Big Five personality traits with student satisfaction with synchronous online academic learning: The case of Covid-19-induced changes. In A. Kavoura, S. Kefallonitis, &amp; P. Theodoridis (Eds.), </w:t>
      </w:r>
      <w:r>
        <w:rPr>
          <w:rFonts w:ascii="Times New Roman" w:hAnsi="Times New Roman" w:eastAsia="Times New Roman"/>
          <w:i/>
          <w:sz w:val="24"/>
        </w:rPr>
        <w:t>Strategic Innovative Marketing and Tourism</w:t>
      </w:r>
      <w:r>
        <w:rPr>
          <w:rFonts w:ascii="Times New Roman" w:hAnsi="Times New Roman" w:eastAsia="Times New Roman"/>
          <w:sz w:val="24"/>
        </w:rPr>
        <w:t xml:space="preserve"> (pp. 116–130). Springer. https://doi.org/10.1007/978-3-030-66154-0_10</w:t>
      </w:r>
    </w:p>
    <w:p>
      <w:pPr>
        <w:spacing w:line="480" w:lineRule="auto" w:before="0" w:after="0"/>
        <w:ind w:left="720" w:hanging="720"/>
      </w:pPr>
      <w:r>
        <w:rPr>
          <w:rFonts w:ascii="Times New Roman" w:hAnsi="Times New Roman" w:eastAsia="Times New Roman"/>
          <w:sz w:val="24"/>
        </w:rPr>
        <w:t xml:space="preserve">Schünemann, H. J., Higgins, J. P. T., Vist, G. E., Glasziou, P., Akl, E. A., Skoetz, </w:t>
      </w:r>
      <w:r>
        <w:rPr>
          <w:rFonts w:ascii="Times New Roman" w:hAnsi="Times New Roman" w:eastAsia="Times New Roman"/>
          <w:i/>
          <w:sz w:val="24"/>
        </w:rPr>
        <w:t>N</w:t>
      </w:r>
      <w:r>
        <w:rPr>
          <w:rFonts w:ascii="Times New Roman" w:hAnsi="Times New Roman" w:eastAsia="Times New Roman"/>
          <w:sz w:val="24"/>
        </w:rPr>
        <w:t xml:space="preserve">., &amp; Guyatt, G. H. (2019). Chapter 14: Completing "Summary of findings" tables and grading the certainty of the evidence. In J. P. T. Higgins, J. Thomas, J. Chandler, </w:t>
      </w:r>
      <w:r>
        <w:rPr>
          <w:rFonts w:ascii="Times New Roman" w:hAnsi="Times New Roman" w:eastAsia="Times New Roman"/>
          <w:i/>
          <w:sz w:val="24"/>
        </w:rPr>
        <w:t>M</w:t>
      </w:r>
      <w:r>
        <w:rPr>
          <w:rFonts w:ascii="Times New Roman" w:hAnsi="Times New Roman" w:eastAsia="Times New Roman"/>
          <w:sz w:val="24"/>
        </w:rPr>
        <w:t xml:space="preserve">. Cumpston, T. Li, </w:t>
      </w:r>
      <w:r>
        <w:rPr>
          <w:rFonts w:ascii="Times New Roman" w:hAnsi="Times New Roman" w:eastAsia="Times New Roman"/>
          <w:i/>
          <w:sz w:val="24"/>
        </w:rPr>
        <w:t>M</w:t>
      </w:r>
      <w:r>
        <w:rPr>
          <w:rFonts w:ascii="Times New Roman" w:hAnsi="Times New Roman" w:eastAsia="Times New Roman"/>
          <w:sz w:val="24"/>
        </w:rPr>
        <w:t>. J. Page, &amp; V. A. Welch (Eds.), Cochrane handbook for systematic reviews of interventions (2nd ed.). John Wiley &amp; Sons.</w:t>
      </w:r>
    </w:p>
    <w:p>
      <w:pPr>
        <w:spacing w:line="480" w:lineRule="auto" w:before="0" w:after="0"/>
        <w:ind w:left="720" w:hanging="720"/>
      </w:pPr>
      <w:r>
        <w:rPr>
          <w:rFonts w:ascii="Times New Roman" w:hAnsi="Times New Roman" w:eastAsia="Times New Roman"/>
          <w:sz w:val="24"/>
        </w:rPr>
        <w:t xml:space="preserve">Simonsohn, U., Nelson, L. D., &amp; Simmons, J. P. (2014). P-curve: A key to the file-drawer. </w:t>
      </w:r>
      <w:r>
        <w:rPr>
          <w:rFonts w:ascii="Times New Roman" w:hAnsi="Times New Roman" w:eastAsia="Times New Roman"/>
          <w:i/>
          <w:sz w:val="24"/>
        </w:rPr>
        <w:t>Journal of Experimental Psychology: General, 143</w:t>
      </w:r>
      <w:r>
        <w:rPr>
          <w:rFonts w:ascii="Times New Roman" w:hAnsi="Times New Roman" w:eastAsia="Times New Roman"/>
          <w:sz w:val="24"/>
        </w:rPr>
        <w:t>(2), 534–547. https://doi.org/10.1037/a0033242</w:t>
      </w:r>
    </w:p>
    <w:p>
      <w:pPr>
        <w:spacing w:line="480" w:lineRule="auto" w:before="0" w:after="0"/>
        <w:ind w:left="720" w:hanging="720"/>
      </w:pPr>
      <w:r>
        <w:rPr>
          <w:rFonts w:ascii="Times New Roman" w:hAnsi="Times New Roman" w:eastAsia="Times New Roman"/>
          <w:sz w:val="24"/>
        </w:rPr>
        <w:t xml:space="preserve">Stajkovic, A. D., Bandura, A., Locke, E. A., Lee, D., &amp; Sergent, K. (2018). Test of three conceptual models of influence of the big five personality traits and self-efficacy on academic performance: A meta-analytic path-analysis. </w:t>
      </w:r>
      <w:r>
        <w:rPr>
          <w:rFonts w:ascii="Times New Roman" w:hAnsi="Times New Roman" w:eastAsia="Times New Roman"/>
          <w:i/>
          <w:sz w:val="24"/>
        </w:rPr>
        <w:t>Personality and Individual Differences, 120</w:t>
      </w:r>
      <w:r>
        <w:rPr>
          <w:rFonts w:ascii="Times New Roman" w:hAnsi="Times New Roman" w:eastAsia="Times New Roman"/>
          <w:sz w:val="24"/>
        </w:rPr>
        <w:t>, 238–245. https://doi.org/10.1016/j.paid.2017.08.014</w:t>
      </w:r>
    </w:p>
    <w:p>
      <w:pPr>
        <w:spacing w:line="480" w:lineRule="auto" w:before="0" w:after="0"/>
        <w:ind w:left="720" w:hanging="720"/>
      </w:pPr>
      <w:r>
        <w:rPr>
          <w:rFonts w:ascii="Times New Roman" w:hAnsi="Times New Roman" w:eastAsia="Times New Roman"/>
          <w:sz w:val="24"/>
        </w:rPr>
        <w:t xml:space="preserve">Tipton, E. (2015). Small sample adjustments for robust variance estimation with meta-regression. </w:t>
      </w:r>
      <w:r>
        <w:rPr>
          <w:rFonts w:ascii="Times New Roman" w:hAnsi="Times New Roman" w:eastAsia="Times New Roman"/>
          <w:i/>
          <w:sz w:val="24"/>
        </w:rPr>
        <w:t>Psychological Methods, 20</w:t>
      </w:r>
      <w:r>
        <w:rPr>
          <w:rFonts w:ascii="Times New Roman" w:hAnsi="Times New Roman" w:eastAsia="Times New Roman"/>
          <w:sz w:val="24"/>
        </w:rPr>
        <w:t>(3), 375–393. https://doi.org/10.1037/met0000011</w:t>
      </w:r>
    </w:p>
    <w:p>
      <w:pPr>
        <w:spacing w:line="480" w:lineRule="auto" w:before="0" w:after="0"/>
        <w:ind w:left="720" w:hanging="720"/>
      </w:pPr>
      <w:r>
        <w:rPr>
          <w:rFonts w:ascii="Times New Roman" w:hAnsi="Times New Roman" w:eastAsia="Times New Roman"/>
          <w:sz w:val="24"/>
        </w:rPr>
        <w:t xml:space="preserve">Tlili, A., Sun, T., Denden, </w:t>
      </w:r>
      <w:r>
        <w:rPr>
          <w:rFonts w:ascii="Times New Roman" w:hAnsi="Times New Roman" w:eastAsia="Times New Roman"/>
          <w:i/>
          <w:sz w:val="24"/>
        </w:rPr>
        <w:t>M</w:t>
      </w:r>
      <w:r>
        <w:rPr>
          <w:rFonts w:ascii="Times New Roman" w:hAnsi="Times New Roman" w:eastAsia="Times New Roman"/>
          <w:sz w:val="24"/>
        </w:rPr>
        <w:t>., Kinshuk, Graf, S., Fei, C., &amp; Wang, H. (2023). Impact of personality traits on learners' navigational behavior patterns in an online course: A lag sequential analysis approach. Frontiers in Psychology, 14, 1071985. https://doi.org/10.3389/fpsyg.2023.1071985</w:t>
      </w:r>
    </w:p>
    <w:p>
      <w:pPr>
        <w:spacing w:line="480" w:lineRule="auto" w:before="0" w:after="0"/>
        <w:ind w:left="720" w:hanging="720"/>
      </w:pPr>
      <w:r>
        <w:rPr>
          <w:rFonts w:ascii="Times New Roman" w:hAnsi="Times New Roman" w:eastAsia="Times New Roman"/>
          <w:sz w:val="24"/>
        </w:rPr>
        <w:t>[Author's own primary study (2025) — full reference removed for double-anonymous review; details available to the editorial office on request.]</w:t>
      </w:r>
      <w:r>
        <w:rPr>
          <w:rFonts w:ascii="Times New Roman" w:hAnsi="Times New Roman" w:eastAsia="Times New Roman"/>
          <w:i/>
          <w:sz w:val="24"/>
        </w:rPr>
      </w:r>
      <w:r>
        <w:rPr>
          <w:rFonts w:ascii="Times New Roman" w:hAnsi="Times New Roman" w:eastAsia="Times New Roman"/>
          <w:sz w:val="24"/>
        </w:rPr>
      </w:r>
    </w:p>
    <w:p>
      <w:pPr>
        <w:spacing w:line="480" w:lineRule="auto" w:before="0" w:after="0"/>
        <w:ind w:left="720" w:hanging="720"/>
      </w:pPr>
      <w:r>
        <w:rPr>
          <w:rFonts w:ascii="Times New Roman" w:hAnsi="Times New Roman" w:eastAsia="Times New Roman"/>
          <w:sz w:val="24"/>
        </w:rPr>
        <w:t xml:space="preserve">Vedel, A. (2014). The Big Five and tertiary academic performance: A systematic review and meta-analysis. </w:t>
      </w:r>
      <w:r>
        <w:rPr>
          <w:rFonts w:ascii="Times New Roman" w:hAnsi="Times New Roman" w:eastAsia="Times New Roman"/>
          <w:i/>
          <w:sz w:val="24"/>
        </w:rPr>
        <w:t>Personality and Individual Differences, 71</w:t>
      </w:r>
      <w:r>
        <w:rPr>
          <w:rFonts w:ascii="Times New Roman" w:hAnsi="Times New Roman" w:eastAsia="Times New Roman"/>
          <w:sz w:val="24"/>
        </w:rPr>
        <w:t>, 66–76. https://doi.org/10.1016/j.paid.2014.07.011</w:t>
      </w:r>
    </w:p>
    <w:p>
      <w:pPr>
        <w:spacing w:line="480" w:lineRule="auto" w:before="0" w:after="0"/>
        <w:ind w:left="720" w:hanging="720"/>
      </w:pPr>
      <w:r>
        <w:rPr>
          <w:rFonts w:ascii="Times New Roman" w:hAnsi="Times New Roman" w:eastAsia="Times New Roman"/>
          <w:sz w:val="24"/>
        </w:rPr>
        <w:t xml:space="preserve">Viechtbauer, W. (2010). Conducting meta-analyses in R with the metafor package. </w:t>
      </w:r>
      <w:r>
        <w:rPr>
          <w:rFonts w:ascii="Times New Roman" w:hAnsi="Times New Roman" w:eastAsia="Times New Roman"/>
          <w:i/>
          <w:sz w:val="24"/>
        </w:rPr>
        <w:t>Journal of Statistical Software, 36</w:t>
      </w:r>
      <w:r>
        <w:rPr>
          <w:rFonts w:ascii="Times New Roman" w:hAnsi="Times New Roman" w:eastAsia="Times New Roman"/>
          <w:sz w:val="24"/>
        </w:rPr>
        <w:t>(3), 1–48. https://doi.org/10.18637/jss.v036.i03</w:t>
      </w:r>
    </w:p>
    <w:p>
      <w:pPr>
        <w:spacing w:line="480" w:lineRule="auto" w:before="0" w:after="0"/>
        <w:ind w:left="720" w:hanging="720"/>
      </w:pPr>
      <w:r>
        <w:rPr>
          <w:rFonts w:ascii="Times New Roman" w:hAnsi="Times New Roman" w:eastAsia="Times New Roman"/>
          <w:sz w:val="24"/>
        </w:rPr>
        <w:t xml:space="preserve">Wang, P., Wang, </w:t>
      </w:r>
      <w:r>
        <w:rPr>
          <w:rFonts w:ascii="Times New Roman" w:hAnsi="Times New Roman" w:eastAsia="Times New Roman"/>
          <w:i/>
          <w:sz w:val="24"/>
        </w:rPr>
        <w:t>F</w:t>
      </w:r>
      <w:r>
        <w:rPr>
          <w:rFonts w:ascii="Times New Roman" w:hAnsi="Times New Roman" w:eastAsia="Times New Roman"/>
          <w:sz w:val="24"/>
        </w:rPr>
        <w:t>., &amp; Li, Z. (2023). Exploring the ecosystem of K-12 online learning: An empirical study of impact mechanisms in the post-pandemic era. Frontiers in Psychology, 14, 1241477. https://doi.org/10.3389/fpsyg.2023.1241477</w:t>
      </w:r>
    </w:p>
    <w:p>
      <w:pPr>
        <w:spacing w:line="480" w:lineRule="auto" w:before="0" w:after="0"/>
        <w:ind w:left="720" w:hanging="720"/>
      </w:pPr>
      <w:r>
        <w:rPr>
          <w:rFonts w:ascii="Times New Roman" w:hAnsi="Times New Roman" w:eastAsia="Times New Roman"/>
          <w:sz w:val="24"/>
        </w:rPr>
        <w:t xml:space="preserve">Wu, R., &amp; Yu, Z. (2024). Relationship between university students' personalities and e-learning engagement mediated by achievement emotions and adaptability. </w:t>
      </w:r>
      <w:r>
        <w:rPr>
          <w:rFonts w:ascii="Times New Roman" w:hAnsi="Times New Roman" w:eastAsia="Times New Roman"/>
          <w:i/>
          <w:sz w:val="24"/>
        </w:rPr>
        <w:t>Education and Information Technologies, 29</w:t>
      </w:r>
      <w:r>
        <w:rPr>
          <w:rFonts w:ascii="Times New Roman" w:hAnsi="Times New Roman" w:eastAsia="Times New Roman"/>
          <w:sz w:val="24"/>
        </w:rPr>
        <w:t>, 10821–10850. https://doi.org/10.1007/s10639-023-12222-5</w:t>
      </w:r>
    </w:p>
    <w:p>
      <w:pPr>
        <w:spacing w:line="480" w:lineRule="auto" w:before="0" w:after="0"/>
        <w:ind w:left="720" w:hanging="720"/>
      </w:pPr>
      <w:r>
        <w:rPr>
          <w:rFonts w:ascii="Times New Roman" w:hAnsi="Times New Roman" w:eastAsia="Times New Roman"/>
          <w:sz w:val="24"/>
        </w:rPr>
        <w:t xml:space="preserve">Yu, Z. (2021). The effects of gender, educational level, and personality on online learning outcomes during the COVID-19 pandemic. </w:t>
      </w:r>
      <w:r>
        <w:rPr>
          <w:rFonts w:ascii="Times New Roman" w:hAnsi="Times New Roman" w:eastAsia="Times New Roman"/>
          <w:i/>
          <w:sz w:val="24"/>
        </w:rPr>
        <w:t>International Journal of Educational Technology in Higher Education, 18</w:t>
      </w:r>
      <w:r>
        <w:rPr>
          <w:rFonts w:ascii="Times New Roman" w:hAnsi="Times New Roman" w:eastAsia="Times New Roman"/>
          <w:sz w:val="24"/>
        </w:rPr>
        <w:t>, Article 14. https://doi.org/10.1186/s41239-021-00252-3</w:t>
      </w:r>
    </w:p>
    <w:p>
      <w:pPr>
        <w:spacing w:line="480" w:lineRule="auto" w:before="0" w:after="0"/>
        <w:ind w:left="720" w:hanging="720"/>
      </w:pPr>
      <w:r>
        <w:rPr>
          <w:rFonts w:ascii="Times New Roman" w:hAnsi="Times New Roman" w:eastAsia="Times New Roman"/>
          <w:sz w:val="24"/>
        </w:rPr>
        <w:t xml:space="preserve">Zell, E., &amp; Lesick, T. L. (2022). Big five personality traits and performance: A quantitative synthesis of 50+ meta-analyses. </w:t>
      </w:r>
      <w:r>
        <w:rPr>
          <w:rFonts w:ascii="Times New Roman" w:hAnsi="Times New Roman" w:eastAsia="Times New Roman"/>
          <w:i/>
          <w:sz w:val="24"/>
        </w:rPr>
        <w:t>Journal of Personality, 90</w:t>
      </w:r>
      <w:r>
        <w:rPr>
          <w:rFonts w:ascii="Times New Roman" w:hAnsi="Times New Roman" w:eastAsia="Times New Roman"/>
          <w:sz w:val="24"/>
        </w:rPr>
        <w:t>(4), 559–573. https://doi.org/10.1111/jopy.12683</w:t>
      </w:r>
    </w:p>
    <w:p>
      <w:pPr>
        <w:spacing w:line="480" w:lineRule="auto" w:before="0" w:after="0"/>
        <w:ind w:left="720" w:hanging="720"/>
      </w:pPr>
      <w:r>
        <w:rPr>
          <w:rFonts w:ascii="Times New Roman" w:hAnsi="Times New Roman" w:eastAsia="Times New Roman"/>
          <w:sz w:val="24"/>
        </w:rPr>
        <w:t xml:space="preserve">Zheng, Y., &amp; Zheng, S. (2023). Exploring educational impacts among pre, during and post COVID-19 lockdowns from students with different personality traits. </w:t>
      </w:r>
      <w:r>
        <w:rPr>
          <w:rFonts w:ascii="Times New Roman" w:hAnsi="Times New Roman" w:eastAsia="Times New Roman"/>
          <w:i/>
          <w:sz w:val="24"/>
        </w:rPr>
        <w:t>International Journal of Educational Technology in Higher Education, 20</w:t>
      </w:r>
      <w:r>
        <w:rPr>
          <w:rFonts w:ascii="Times New Roman" w:hAnsi="Times New Roman" w:eastAsia="Times New Roman"/>
          <w:sz w:val="24"/>
        </w:rPr>
        <w:t>(1), 21. https://doi.org/10.1186/s41239-023-00388-4</w:t>
      </w:r>
    </w:p>
    <w:p>
      <w:r>
        <w:br w:type="page"/>
      </w:r>
    </w:p>
    <w:p>
      <w:pPr>
        <w:spacing w:line="480" w:lineRule="auto" w:before="0" w:after="0"/>
      </w:pPr>
      <w:r>
        <w:rPr>
          <w:rFonts w:ascii="Times New Roman" w:hAnsi="Times New Roman"/>
          <w:b/>
          <w:sz w:val="24"/>
        </w:rPr>
        <w:t>Table 1</w:t>
      </w:r>
    </w:p>
    <w:p>
      <w:pPr>
        <w:spacing w:line="480" w:lineRule="auto" w:before="0" w:after="0"/>
      </w:pPr>
      <w:r>
        <w:rPr>
          <w:rFonts w:ascii="Times New Roman" w:hAnsi="Times New Roman"/>
          <w:i/>
          <w:sz w:val="24"/>
        </w:rPr>
        <w:t>Characteristics of the 31 Included Primary Studies and Their Contributions to the Quantitative Synthesis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pPr>
              <w:spacing w:before="0" w:after="0" w:line="240" w:lineRule="auto"/>
            </w:pPr>
            <w:r>
              <w:rPr>
                <w:rFonts w:ascii="Times New Roman" w:hAnsi="Times New Roman" w:eastAsia="Times New Roman"/>
                <w:b/>
                <w:sz w:val="16"/>
              </w:rPr>
              <w:t>ID</w:t>
            </w:r>
          </w:p>
        </w:tc>
        <w:tc>
          <w:tcPr>
            <w:tcW w:type="dxa" w:w="780"/>
          </w:tcPr>
          <w:p>
            <w:pPr>
              <w:spacing w:before="0" w:after="0" w:line="240" w:lineRule="auto"/>
            </w:pPr>
            <w:r>
              <w:rPr>
                <w:rFonts w:ascii="Times New Roman" w:hAnsi="Times New Roman" w:eastAsia="Times New Roman"/>
                <w:b/>
                <w:sz w:val="16"/>
              </w:rPr>
              <w:t>Author (Year)</w:t>
            </w:r>
          </w:p>
        </w:tc>
        <w:tc>
          <w:tcPr>
            <w:tcW w:type="dxa" w:w="780"/>
          </w:tcPr>
          <w:p>
            <w:pPr>
              <w:spacing w:before="0" w:after="0" w:line="240" w:lineRule="auto"/>
            </w:pPr>
            <w:r>
              <w:rPr>
                <w:rFonts w:ascii="Times New Roman" w:hAnsi="Times New Roman" w:eastAsia="Times New Roman"/>
                <w:b/>
                <w:sz w:val="16"/>
              </w:rPr>
              <w:t>N</w:t>
            </w:r>
          </w:p>
        </w:tc>
        <w:tc>
          <w:tcPr>
            <w:tcW w:type="dxa" w:w="780"/>
          </w:tcPr>
          <w:p>
            <w:pPr>
              <w:spacing w:before="0" w:after="0" w:line="240" w:lineRule="auto"/>
            </w:pPr>
            <w:r>
              <w:rPr>
                <w:rFonts w:ascii="Times New Roman" w:hAnsi="Times New Roman" w:eastAsia="Times New Roman"/>
                <w:b/>
                <w:sz w:val="16"/>
              </w:rPr>
              <w:t>Country</w:t>
            </w:r>
          </w:p>
        </w:tc>
        <w:tc>
          <w:tcPr>
            <w:tcW w:type="dxa" w:w="780"/>
          </w:tcPr>
          <w:p>
            <w:pPr>
              <w:spacing w:before="0" w:after="0" w:line="240" w:lineRule="auto"/>
            </w:pPr>
            <w:r>
              <w:rPr>
                <w:rFonts w:ascii="Times New Roman" w:hAnsi="Times New Roman" w:eastAsia="Times New Roman"/>
                <w:b/>
                <w:sz w:val="16"/>
              </w:rPr>
              <w:t>Mode</w:t>
            </w:r>
          </w:p>
        </w:tc>
        <w:tc>
          <w:tcPr>
            <w:tcW w:type="dxa" w:w="780"/>
          </w:tcPr>
          <w:p>
            <w:pPr>
              <w:spacing w:before="0" w:after="0" w:line="240" w:lineRule="auto"/>
            </w:pPr>
            <w:r>
              <w:rPr>
                <w:rFonts w:ascii="Times New Roman" w:hAnsi="Times New Roman" w:eastAsia="Times New Roman"/>
                <w:b/>
                <w:sz w:val="16"/>
              </w:rPr>
              <w:t>Level</w:t>
            </w:r>
          </w:p>
        </w:tc>
        <w:tc>
          <w:tcPr>
            <w:tcW w:type="dxa" w:w="780"/>
          </w:tcPr>
          <w:p>
            <w:pPr>
              <w:spacing w:before="0" w:after="0" w:line="240" w:lineRule="auto"/>
            </w:pPr>
            <w:r>
              <w:rPr>
                <w:rFonts w:ascii="Times New Roman" w:hAnsi="Times New Roman" w:eastAsia="Times New Roman"/>
                <w:b/>
                <w:sz w:val="16"/>
              </w:rPr>
              <w:t>Era</w:t>
            </w:r>
          </w:p>
        </w:tc>
        <w:tc>
          <w:tcPr>
            <w:tcW w:type="dxa" w:w="780"/>
          </w:tcPr>
          <w:p>
            <w:pPr>
              <w:spacing w:before="0" w:after="0" w:line="240" w:lineRule="auto"/>
            </w:pPr>
            <w:r>
              <w:rPr>
                <w:rFonts w:ascii="Times New Roman" w:hAnsi="Times New Roman" w:eastAsia="Times New Roman"/>
                <w:b/>
                <w:sz w:val="16"/>
              </w:rPr>
              <w:t>Region</w:t>
            </w:r>
          </w:p>
        </w:tc>
        <w:tc>
          <w:tcPr>
            <w:tcW w:type="dxa" w:w="780"/>
          </w:tcPr>
          <w:p>
            <w:pPr>
              <w:spacing w:before="0" w:after="0" w:line="240" w:lineRule="auto"/>
            </w:pPr>
            <w:r>
              <w:rPr>
                <w:rFonts w:ascii="Times New Roman" w:hAnsi="Times New Roman" w:eastAsia="Times New Roman"/>
                <w:b/>
                <w:sz w:val="16"/>
              </w:rPr>
              <w:t>Instrument</w:t>
            </w:r>
          </w:p>
        </w:tc>
        <w:tc>
          <w:tcPr>
            <w:tcW w:type="dxa" w:w="780"/>
          </w:tcPr>
          <w:p>
            <w:pPr>
              <w:spacing w:before="0" w:after="0" w:line="240" w:lineRule="auto"/>
            </w:pPr>
            <w:r>
              <w:rPr>
                <w:rFonts w:ascii="Times New Roman" w:hAnsi="Times New Roman" w:eastAsia="Times New Roman"/>
                <w:b/>
                <w:sz w:val="16"/>
              </w:rPr>
              <w:t>Outcome</w:t>
            </w:r>
          </w:p>
        </w:tc>
        <w:tc>
          <w:tcPr>
            <w:tcW w:type="dxa" w:w="780"/>
          </w:tcPr>
          <w:p>
            <w:pPr>
              <w:spacing w:before="0" w:after="0" w:line="240" w:lineRule="auto"/>
            </w:pPr>
            <w:r>
              <w:rPr>
                <w:rFonts w:ascii="Times New Roman" w:hAnsi="Times New Roman" w:eastAsia="Times New Roman"/>
                <w:b/>
                <w:sz w:val="16"/>
              </w:rPr>
              <w:t>Inclusion</w:t>
            </w:r>
          </w:p>
        </w:tc>
        <w:tc>
          <w:tcPr>
            <w:tcW w:type="dxa" w:w="780"/>
          </w:tcPr>
          <w:p>
            <w:pPr>
              <w:spacing w:before="0" w:after="0" w:line="240" w:lineRule="auto"/>
            </w:pPr>
            <w:r>
              <w:rPr>
                <w:rFonts w:ascii="Times New Roman" w:hAnsi="Times New Roman" w:eastAsia="Times New Roman"/>
                <w:b/>
                <w:sz w:val="16"/>
              </w:rPr>
              <w:t>RoB</w:t>
            </w:r>
          </w:p>
        </w:tc>
      </w:tr>
      <w:tr>
        <w:tc>
          <w:tcPr>
            <w:tcW w:type="dxa" w:w="780"/>
          </w:tcPr>
          <w:p>
            <w:pPr>
              <w:spacing w:before="0" w:after="0" w:line="240" w:lineRule="auto"/>
            </w:pPr>
            <w:r>
              <w:rPr>
                <w:rFonts w:ascii="Times New Roman" w:hAnsi="Times New Roman" w:eastAsia="Times New Roman"/>
                <w:sz w:val="16"/>
              </w:rPr>
              <w:t>A-01</w:t>
            </w:r>
          </w:p>
        </w:tc>
        <w:tc>
          <w:tcPr>
            <w:tcW w:type="dxa" w:w="780"/>
          </w:tcPr>
          <w:p>
            <w:pPr>
              <w:spacing w:before="0" w:after="0" w:line="240" w:lineRule="auto"/>
            </w:pPr>
            <w:r>
              <w:rPr>
                <w:rFonts w:ascii="Times New Roman" w:hAnsi="Times New Roman" w:eastAsia="Times New Roman"/>
                <w:sz w:val="16"/>
              </w:rPr>
              <w:t>Abe (2020)</w:t>
            </w:r>
          </w:p>
        </w:tc>
        <w:tc>
          <w:tcPr>
            <w:tcW w:type="dxa" w:w="780"/>
          </w:tcPr>
          <w:p>
            <w:pPr>
              <w:spacing w:before="0" w:after="0" w:line="240" w:lineRule="auto"/>
            </w:pPr>
            <w:r>
              <w:rPr>
                <w:rFonts w:ascii="Times New Roman" w:hAnsi="Times New Roman" w:eastAsia="Times New Roman"/>
                <w:sz w:val="16"/>
              </w:rPr>
              <w:t>92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A-02</w:t>
            </w:r>
          </w:p>
        </w:tc>
        <w:tc>
          <w:tcPr>
            <w:tcW w:type="dxa" w:w="780"/>
          </w:tcPr>
          <w:p>
            <w:pPr>
              <w:spacing w:before="0" w:after="0" w:line="240" w:lineRule="auto"/>
            </w:pPr>
            <w:r>
              <w:rPr>
                <w:rFonts w:ascii="Times New Roman" w:hAnsi="Times New Roman" w:eastAsia="Times New Roman"/>
                <w:sz w:val="16"/>
              </w:rPr>
              <w:t>Alkis (2018)</w:t>
            </w:r>
          </w:p>
        </w:tc>
        <w:tc>
          <w:tcPr>
            <w:tcW w:type="dxa" w:w="780"/>
          </w:tcPr>
          <w:p>
            <w:pPr>
              <w:spacing w:before="0" w:after="0" w:line="240" w:lineRule="auto"/>
            </w:pPr>
            <w:r>
              <w:rPr>
                <w:rFonts w:ascii="Times New Roman" w:hAnsi="Times New Roman" w:eastAsia="Times New Roman"/>
                <w:sz w:val="16"/>
              </w:rPr>
              <w:t>189</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A-03</w:t>
            </w:r>
          </w:p>
        </w:tc>
        <w:tc>
          <w:tcPr>
            <w:tcW w:type="dxa" w:w="780"/>
          </w:tcPr>
          <w:p>
            <w:pPr>
              <w:spacing w:before="0" w:after="0" w:line="240" w:lineRule="auto"/>
            </w:pPr>
            <w:r>
              <w:rPr>
                <w:rFonts w:ascii="Times New Roman" w:hAnsi="Times New Roman" w:eastAsia="Times New Roman"/>
                <w:sz w:val="16"/>
              </w:rPr>
              <w:t>Ashouri (2025)</w:t>
            </w:r>
          </w:p>
        </w:tc>
        <w:tc>
          <w:tcPr>
            <w:tcW w:type="dxa" w:w="780"/>
          </w:tcPr>
          <w:p>
            <w:pPr>
              <w:spacing w:before="0" w:after="0" w:line="240" w:lineRule="auto"/>
            </w:pPr>
            <w:r>
              <w:rPr>
                <w:rFonts w:ascii="Times New Roman" w:hAnsi="Times New Roman" w:eastAsia="Times New Roman"/>
                <w:sz w:val="16"/>
              </w:rPr>
              <w:t>183</w:t>
            </w:r>
          </w:p>
        </w:tc>
        <w:tc>
          <w:tcPr>
            <w:tcW w:type="dxa" w:w="780"/>
          </w:tcPr>
          <w:p>
            <w:pPr>
              <w:spacing w:before="0" w:after="0" w:line="240" w:lineRule="auto"/>
            </w:pPr>
            <w:r>
              <w:rPr>
                <w:rFonts w:ascii="Times New Roman" w:hAnsi="Times New Roman" w:eastAsia="Times New Roman"/>
                <w:sz w:val="16"/>
              </w:rPr>
              <w:t>Iran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A-04</w:t>
            </w:r>
          </w:p>
        </w:tc>
        <w:tc>
          <w:tcPr>
            <w:tcW w:type="dxa" w:w="780"/>
          </w:tcPr>
          <w:p>
            <w:pPr>
              <w:spacing w:before="0" w:after="0" w:line="240" w:lineRule="auto"/>
            </w:pPr>
            <w:r>
              <w:rPr>
                <w:rFonts w:ascii="Times New Roman" w:hAnsi="Times New Roman" w:eastAsia="Times New Roman"/>
                <w:sz w:val="16"/>
              </w:rPr>
              <w:t>Audet (2021)</w:t>
            </w:r>
          </w:p>
        </w:tc>
        <w:tc>
          <w:tcPr>
            <w:tcW w:type="dxa" w:w="780"/>
          </w:tcPr>
          <w:p>
            <w:pPr>
              <w:spacing w:before="0" w:after="0" w:line="240" w:lineRule="auto"/>
            </w:pPr>
            <w:r>
              <w:rPr>
                <w:rFonts w:ascii="Times New Roman" w:hAnsi="Times New Roman" w:eastAsia="Times New Roman"/>
                <w:sz w:val="16"/>
              </w:rPr>
              <w:t>350</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A-05</w:t>
            </w:r>
          </w:p>
        </w:tc>
        <w:tc>
          <w:tcPr>
            <w:tcW w:type="dxa" w:w="780"/>
          </w:tcPr>
          <w:p>
            <w:pPr>
              <w:spacing w:before="0" w:after="0" w:line="240" w:lineRule="auto"/>
            </w:pPr>
            <w:r>
              <w:rPr>
                <w:rFonts w:ascii="Times New Roman" w:hAnsi="Times New Roman" w:eastAsia="Times New Roman"/>
                <w:sz w:val="16"/>
              </w:rPr>
              <w:t>Audet (2023)</w:t>
            </w:r>
          </w:p>
        </w:tc>
        <w:tc>
          <w:tcPr>
            <w:tcW w:type="dxa" w:w="780"/>
          </w:tcPr>
          <w:p>
            <w:pPr>
              <w:spacing w:before="0" w:after="0" w:line="240" w:lineRule="auto"/>
            </w:pPr>
            <w:r>
              <w:rPr>
                <w:rFonts w:ascii="Times New Roman" w:hAnsi="Times New Roman" w:eastAsia="Times New Roman"/>
                <w:sz w:val="16"/>
              </w:rPr>
              <w:t>678</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Exc-dup</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A-06</w:t>
            </w:r>
          </w:p>
        </w:tc>
        <w:tc>
          <w:tcPr>
            <w:tcW w:type="dxa" w:w="780"/>
          </w:tcPr>
          <w:p>
            <w:pPr>
              <w:spacing w:before="0" w:after="0" w:line="240" w:lineRule="auto"/>
            </w:pPr>
            <w:r>
              <w:rPr>
                <w:rFonts w:ascii="Times New Roman" w:hAnsi="Times New Roman" w:eastAsia="Times New Roman"/>
                <w:sz w:val="16"/>
              </w:rPr>
              <w:t>Sahinidis (2021)</w:t>
            </w:r>
          </w:p>
        </w:tc>
        <w:tc>
          <w:tcPr>
            <w:tcW w:type="dxa" w:w="780"/>
          </w:tcPr>
          <w:p>
            <w:pPr>
              <w:spacing w:before="0" w:after="0" w:line="240" w:lineRule="auto"/>
            </w:pPr>
            <w:r>
              <w:rPr>
                <w:rFonts w:ascii="Times New Roman" w:hAnsi="Times New Roman" w:eastAsia="Times New Roman"/>
                <w:sz w:val="16"/>
              </w:rPr>
              <w:t>555</w:t>
            </w:r>
          </w:p>
        </w:tc>
        <w:tc>
          <w:tcPr>
            <w:tcW w:type="dxa" w:w="780"/>
          </w:tcPr>
          <w:p>
            <w:pPr>
              <w:spacing w:before="0" w:after="0" w:line="240" w:lineRule="auto"/>
            </w:pPr>
            <w:r>
              <w:rPr>
                <w:rFonts w:ascii="Times New Roman" w:hAnsi="Times New Roman" w:eastAsia="Times New Roman"/>
                <w:sz w:val="16"/>
              </w:rPr>
              <w:t>Greece</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Custom 30-item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A-07</w:t>
            </w:r>
          </w:p>
        </w:tc>
        <w:tc>
          <w:tcPr>
            <w:tcW w:type="dxa" w:w="780"/>
          </w:tcPr>
          <w:p>
            <w:pPr>
              <w:spacing w:before="0" w:after="0" w:line="240" w:lineRule="auto"/>
            </w:pPr>
            <w:r>
              <w:rPr>
                <w:rFonts w:ascii="Times New Roman" w:hAnsi="Times New Roman" w:eastAsia="Times New Roman"/>
                <w:sz w:val="16"/>
              </w:rPr>
              <w:t>Cohen (2017)</w:t>
            </w:r>
          </w:p>
        </w:tc>
        <w:tc>
          <w:tcPr>
            <w:tcW w:type="dxa" w:w="780"/>
          </w:tcPr>
          <w:p>
            <w:pPr>
              <w:spacing w:before="0" w:after="0" w:line="240" w:lineRule="auto"/>
            </w:pPr>
            <w:r>
              <w:rPr>
                <w:rFonts w:ascii="Times New Roman" w:hAnsi="Times New Roman" w:eastAsia="Times New Roman"/>
                <w:sz w:val="16"/>
              </w:rPr>
              <w:t>72</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A-08</w:t>
            </w:r>
          </w:p>
        </w:tc>
        <w:tc>
          <w:tcPr>
            <w:tcW w:type="dxa" w:w="780"/>
          </w:tcPr>
          <w:p>
            <w:pPr>
              <w:spacing w:before="0" w:after="0" w:line="240" w:lineRule="auto"/>
            </w:pPr>
            <w:r>
              <w:rPr>
                <w:rFonts w:ascii="Times New Roman" w:hAnsi="Times New Roman" w:eastAsia="Times New Roman"/>
                <w:sz w:val="16"/>
              </w:rPr>
              <w:t>Keller (2013)</w:t>
            </w:r>
          </w:p>
        </w:tc>
        <w:tc>
          <w:tcPr>
            <w:tcW w:type="dxa" w:w="780"/>
          </w:tcPr>
          <w:p>
            <w:pPr>
              <w:spacing w:before="0" w:after="0" w:line="240" w:lineRule="auto"/>
            </w:pPr>
            <w:r>
              <w:rPr>
                <w:rFonts w:ascii="Times New Roman" w:hAnsi="Times New Roman" w:eastAsia="Times New Roman"/>
                <w:sz w:val="16"/>
              </w:rPr>
              <w:t>250</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IPIP-50</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A-09</w:t>
            </w:r>
          </w:p>
        </w:tc>
        <w:tc>
          <w:tcPr>
            <w:tcW w:type="dxa" w:w="780"/>
          </w:tcPr>
          <w:p>
            <w:pPr>
              <w:spacing w:before="0" w:after="0" w:line="240" w:lineRule="auto"/>
            </w:pPr>
            <w:r>
              <w:rPr>
                <w:rFonts w:ascii="Times New Roman" w:hAnsi="Times New Roman" w:eastAsia="Times New Roman"/>
                <w:sz w:val="16"/>
              </w:rPr>
              <w:t>Bhattacharjee (2025)</w:t>
            </w:r>
          </w:p>
        </w:tc>
        <w:tc>
          <w:tcPr>
            <w:tcW w:type="dxa" w:w="780"/>
          </w:tcPr>
          <w:p>
            <w:pPr>
              <w:spacing w:before="0" w:after="0" w:line="240" w:lineRule="auto"/>
            </w:pPr>
            <w:r>
              <w:rPr>
                <w:rFonts w:ascii="Times New Roman" w:hAnsi="Times New Roman" w:eastAsia="Times New Roman"/>
                <w:sz w:val="16"/>
              </w:rPr>
              <w:t>384</w:t>
            </w:r>
          </w:p>
        </w:tc>
        <w:tc>
          <w:tcPr>
            <w:tcW w:type="dxa" w:w="780"/>
          </w:tcPr>
          <w:p>
            <w:pPr>
              <w:spacing w:before="0" w:after="0" w:line="240" w:lineRule="auto"/>
            </w:pPr>
            <w:r>
              <w:rPr>
                <w:rFonts w:ascii="Times New Roman" w:hAnsi="Times New Roman" w:eastAsia="Times New Roman"/>
                <w:sz w:val="16"/>
              </w:rPr>
              <w:t>India</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A-10</w:t>
            </w:r>
          </w:p>
        </w:tc>
        <w:tc>
          <w:tcPr>
            <w:tcW w:type="dxa" w:w="780"/>
          </w:tcPr>
          <w:p>
            <w:pPr>
              <w:spacing w:before="0" w:after="0" w:line="240" w:lineRule="auto"/>
            </w:pPr>
            <w:r>
              <w:rPr>
                <w:rFonts w:ascii="Times New Roman" w:hAnsi="Times New Roman" w:eastAsia="Times New Roman"/>
                <w:sz w:val="16"/>
              </w:rPr>
              <w:t>Boonyapison (2025)</w:t>
            </w:r>
          </w:p>
        </w:tc>
        <w:tc>
          <w:tcPr>
            <w:tcW w:type="dxa" w:w="780"/>
          </w:tcPr>
          <w:p>
            <w:pPr>
              <w:spacing w:before="0" w:after="0" w:line="240" w:lineRule="auto"/>
            </w:pPr>
            <w:r>
              <w:rPr>
                <w:rFonts w:ascii="Times New Roman" w:hAnsi="Times New Roman" w:eastAsia="Times New Roman"/>
                <w:sz w:val="16"/>
              </w:rPr>
              <w:t>203</w:t>
            </w:r>
          </w:p>
        </w:tc>
        <w:tc>
          <w:tcPr>
            <w:tcW w:type="dxa" w:w="780"/>
          </w:tcPr>
          <w:p>
            <w:pPr>
              <w:spacing w:before="0" w:after="0" w:line="240" w:lineRule="auto"/>
            </w:pPr>
            <w:r>
              <w:rPr>
                <w:rFonts w:ascii="Times New Roman" w:hAnsi="Times New Roman" w:eastAsia="Times New Roman"/>
                <w:sz w:val="16"/>
              </w:rPr>
              <w:t>Thailand</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A-11</w:t>
            </w:r>
          </w:p>
        </w:tc>
        <w:tc>
          <w:tcPr>
            <w:tcW w:type="dxa" w:w="780"/>
          </w:tcPr>
          <w:p>
            <w:pPr>
              <w:spacing w:before="0" w:after="0" w:line="240" w:lineRule="auto"/>
            </w:pPr>
            <w:r>
              <w:rPr>
                <w:rFonts w:ascii="Times New Roman" w:hAnsi="Times New Roman" w:eastAsia="Times New Roman"/>
                <w:sz w:val="16"/>
              </w:rPr>
              <w:t>Cheng (2023)</w:t>
            </w:r>
          </w:p>
        </w:tc>
        <w:tc>
          <w:tcPr>
            <w:tcW w:type="dxa" w:w="780"/>
          </w:tcPr>
          <w:p>
            <w:pPr>
              <w:spacing w:before="0" w:after="0" w:line="240" w:lineRule="auto"/>
            </w:pPr>
            <w:r>
              <w:rPr>
                <w:rFonts w:ascii="Times New Roman" w:hAnsi="Times New Roman" w:eastAsia="Times New Roman"/>
                <w:sz w:val="16"/>
              </w:rPr>
              <w:t>746</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Sec/Post</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BFI_C_only</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A-12</w:t>
            </w:r>
          </w:p>
        </w:tc>
        <w:tc>
          <w:tcPr>
            <w:tcW w:type="dxa" w:w="780"/>
          </w:tcPr>
          <w:p>
            <w:pPr>
              <w:spacing w:before="0" w:after="0" w:line="240" w:lineRule="auto"/>
            </w:pPr>
            <w:r>
              <w:rPr>
                <w:rFonts w:ascii="Times New Roman" w:hAnsi="Times New Roman" w:eastAsia="Times New Roman"/>
                <w:sz w:val="16"/>
              </w:rPr>
              <w:t>Baruth (2023)</w:t>
            </w:r>
          </w:p>
        </w:tc>
        <w:tc>
          <w:tcPr>
            <w:tcW w:type="dxa" w:w="780"/>
          </w:tcPr>
          <w:p>
            <w:pPr>
              <w:spacing w:before="0" w:after="0" w:line="240" w:lineRule="auto"/>
            </w:pPr>
            <w:r>
              <w:rPr>
                <w:rFonts w:ascii="Times New Roman" w:hAnsi="Times New Roman" w:eastAsia="Times New Roman"/>
                <w:sz w:val="16"/>
              </w:rPr>
              <w:t>108</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A-13</w:t>
            </w:r>
          </w:p>
        </w:tc>
        <w:tc>
          <w:tcPr>
            <w:tcW w:type="dxa" w:w="780"/>
          </w:tcPr>
          <w:p>
            <w:pPr>
              <w:spacing w:before="0" w:after="0" w:line="240" w:lineRule="auto"/>
            </w:pPr>
            <w:r>
              <w:rPr>
                <w:rFonts w:ascii="Times New Roman" w:hAnsi="Times New Roman" w:eastAsia="Times New Roman"/>
                <w:sz w:val="16"/>
              </w:rPr>
              <w:t>Dang (2025)</w:t>
            </w:r>
          </w:p>
        </w:tc>
        <w:tc>
          <w:tcPr>
            <w:tcW w:type="dxa" w:w="780"/>
          </w:tcPr>
          <w:p>
            <w:pPr>
              <w:spacing w:before="0" w:after="0" w:line="240" w:lineRule="auto"/>
            </w:pPr>
            <w:r>
              <w:rPr>
                <w:rFonts w:ascii="Times New Roman" w:hAnsi="Times New Roman" w:eastAsia="Times New Roman"/>
                <w:sz w:val="16"/>
              </w:rPr>
              <w:t>235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NEO-FFI_Chinese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A-15</w:t>
            </w:r>
          </w:p>
        </w:tc>
        <w:tc>
          <w:tcPr>
            <w:tcW w:type="dxa" w:w="780"/>
          </w:tcPr>
          <w:p>
            <w:pPr>
              <w:spacing w:before="0" w:after="0" w:line="240" w:lineRule="auto"/>
            </w:pPr>
            <w:r>
              <w:rPr>
                <w:rFonts w:ascii="Times New Roman" w:hAnsi="Times New Roman" w:eastAsia="Times New Roman"/>
                <w:sz w:val="16"/>
              </w:rPr>
              <w:t>Elvers (2003)</w:t>
            </w:r>
          </w:p>
        </w:tc>
        <w:tc>
          <w:tcPr>
            <w:tcW w:type="dxa" w:w="780"/>
          </w:tcPr>
          <w:p>
            <w:pPr>
              <w:spacing w:before="0" w:after="0" w:line="240" w:lineRule="auto"/>
            </w:pPr>
            <w:r>
              <w:rPr>
                <w:rFonts w:ascii="Times New Roman" w:hAnsi="Times New Roman" w:eastAsia="Times New Roman"/>
                <w:sz w:val="16"/>
              </w:rPr>
              <w:t>47</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NEO-FFI</w:t>
            </w:r>
          </w:p>
        </w:tc>
        <w:tc>
          <w:tcPr>
            <w:tcW w:type="dxa" w:w="780"/>
          </w:tcPr>
          <w:p>
            <w:pPr>
              <w:spacing w:before="0" w:after="0" w:line="240" w:lineRule="auto"/>
            </w:pPr>
            <w:r>
              <w:rPr>
                <w:rFonts w:ascii="Times New Roman" w:hAnsi="Times New Roman" w:eastAsia="Times New Roman"/>
                <w:sz w:val="16"/>
              </w:rPr>
              <w:t>procrastination_exam</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A-16</w:t>
            </w:r>
          </w:p>
        </w:tc>
        <w:tc>
          <w:tcPr>
            <w:tcW w:type="dxa" w:w="780"/>
          </w:tcPr>
          <w:p>
            <w:pPr>
              <w:spacing w:before="0" w:after="0" w:line="240" w:lineRule="auto"/>
            </w:pPr>
            <w:r>
              <w:rPr>
                <w:rFonts w:ascii="Times New Roman" w:hAnsi="Times New Roman" w:eastAsia="Times New Roman"/>
                <w:sz w:val="16"/>
              </w:rPr>
              <w:t>Hidalgo-Fuentes (2024)</w:t>
            </w:r>
          </w:p>
        </w:tc>
        <w:tc>
          <w:tcPr>
            <w:tcW w:type="dxa" w:w="780"/>
          </w:tcPr>
          <w:p>
            <w:pPr>
              <w:spacing w:before="0" w:after="0" w:line="240" w:lineRule="auto"/>
            </w:pPr>
            <w:r>
              <w:rPr>
                <w:rFonts w:ascii="Times New Roman" w:hAnsi="Times New Roman" w:eastAsia="Times New Roman"/>
                <w:sz w:val="16"/>
              </w:rPr>
              <w:t>457</w:t>
            </w:r>
          </w:p>
        </w:tc>
        <w:tc>
          <w:tcPr>
            <w:tcW w:type="dxa" w:w="780"/>
          </w:tcPr>
          <w:p>
            <w:pPr>
              <w:spacing w:before="0" w:after="0" w:line="240" w:lineRule="auto"/>
            </w:pPr>
            <w:r>
              <w:rPr>
                <w:rFonts w:ascii="Times New Roman" w:hAnsi="Times New Roman" w:eastAsia="Times New Roman"/>
                <w:sz w:val="16"/>
              </w:rPr>
              <w:t>Honduras+Spain</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BFI-2-S</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A-17</w:t>
            </w:r>
          </w:p>
        </w:tc>
        <w:tc>
          <w:tcPr>
            <w:tcW w:type="dxa" w:w="780"/>
          </w:tcPr>
          <w:p>
            <w:pPr>
              <w:spacing w:before="0" w:after="0" w:line="240" w:lineRule="auto"/>
            </w:pPr>
            <w:r>
              <w:rPr>
                <w:rFonts w:ascii="Times New Roman" w:hAnsi="Times New Roman" w:eastAsia="Times New Roman"/>
                <w:sz w:val="16"/>
              </w:rPr>
              <w:t>Kara (2024)</w:t>
            </w:r>
          </w:p>
        </w:tc>
        <w:tc>
          <w:tcPr>
            <w:tcW w:type="dxa" w:w="780"/>
          </w:tcPr>
          <w:p>
            <w:pPr>
              <w:spacing w:before="0" w:after="0" w:line="240" w:lineRule="auto"/>
            </w:pPr>
            <w:r>
              <w:rPr>
                <w:rFonts w:ascii="Times New Roman" w:hAnsi="Times New Roman" w:eastAsia="Times New Roman"/>
                <w:sz w:val="16"/>
              </w:rPr>
              <w:t>437</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A-18</w:t>
            </w:r>
          </w:p>
        </w:tc>
        <w:tc>
          <w:tcPr>
            <w:tcW w:type="dxa" w:w="780"/>
          </w:tcPr>
          <w:p>
            <w:pPr>
              <w:spacing w:before="0" w:after="0" w:line="240" w:lineRule="auto"/>
            </w:pPr>
            <w:r>
              <w:rPr>
                <w:rFonts w:ascii="Times New Roman" w:hAnsi="Times New Roman" w:eastAsia="Times New Roman"/>
                <w:sz w:val="16"/>
              </w:rPr>
              <w:t>Bhagat (2019)</w:t>
            </w:r>
          </w:p>
        </w:tc>
        <w:tc>
          <w:tcPr>
            <w:tcW w:type="dxa" w:w="780"/>
          </w:tcPr>
          <w:p>
            <w:pPr>
              <w:spacing w:before="0" w:after="0" w:line="240" w:lineRule="auto"/>
            </w:pPr>
            <w:r>
              <w:rPr>
                <w:rFonts w:ascii="Times New Roman" w:hAnsi="Times New Roman" w:eastAsia="Times New Roman"/>
                <w:sz w:val="16"/>
              </w:rPr>
              <w:t>208</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Mini-IPIP</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A-19</w:t>
            </w:r>
          </w:p>
        </w:tc>
        <w:tc>
          <w:tcPr>
            <w:tcW w:type="dxa" w:w="780"/>
          </w:tcPr>
          <w:p>
            <w:pPr>
              <w:spacing w:before="0" w:after="0" w:line="240" w:lineRule="auto"/>
            </w:pPr>
            <w:r>
              <w:rPr>
                <w:rFonts w:ascii="Times New Roman" w:hAnsi="Times New Roman" w:eastAsia="Times New Roman"/>
                <w:sz w:val="16"/>
              </w:rPr>
              <w:t>MacLean (2022)</w:t>
            </w:r>
          </w:p>
        </w:tc>
        <w:tc>
          <w:tcPr>
            <w:tcW w:type="dxa" w:w="780"/>
          </w:tcPr>
          <w:p>
            <w:pPr>
              <w:spacing w:before="0" w:after="0" w:line="240" w:lineRule="auto"/>
            </w:pPr>
            <w:r>
              <w:rPr>
                <w:rFonts w:ascii="Times New Roman" w:hAnsi="Times New Roman" w:eastAsia="Times New Roman"/>
                <w:sz w:val="16"/>
              </w:rPr>
              <w:t>465</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HEXACO-PI-R</w:t>
            </w:r>
          </w:p>
        </w:tc>
        <w:tc>
          <w:tcPr>
            <w:tcW w:type="dxa" w:w="780"/>
          </w:tcPr>
          <w:p>
            <w:pPr>
              <w:spacing w:before="0" w:after="0" w:line="240" w:lineRule="auto"/>
            </w:pPr>
            <w:r>
              <w:rPr>
                <w:rFonts w:ascii="Times New Roman" w:hAnsi="Times New Roman" w:eastAsia="Times New Roman"/>
                <w:sz w:val="16"/>
              </w:rPr>
              <w:t>preference</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A-20</w:t>
            </w:r>
          </w:p>
        </w:tc>
        <w:tc>
          <w:tcPr>
            <w:tcW w:type="dxa" w:w="780"/>
          </w:tcPr>
          <w:p>
            <w:pPr>
              <w:spacing w:before="0" w:after="0" w:line="240" w:lineRule="auto"/>
            </w:pPr>
            <w:r>
              <w:rPr>
                <w:rFonts w:ascii="Times New Roman" w:hAnsi="Times New Roman" w:eastAsia="Times New Roman"/>
                <w:sz w:val="16"/>
              </w:rPr>
              <w:t>Mustafa (2022)</w:t>
            </w:r>
          </w:p>
        </w:tc>
        <w:tc>
          <w:tcPr>
            <w:tcW w:type="dxa" w:w="780"/>
          </w:tcPr>
          <w:p>
            <w:pPr>
              <w:spacing w:before="0" w:after="0" w:line="240" w:lineRule="auto"/>
            </w:pPr>
            <w:r>
              <w:rPr>
                <w:rFonts w:ascii="Times New Roman" w:hAnsi="Times New Roman" w:eastAsia="Times New Roman"/>
                <w:sz w:val="16"/>
              </w:rPr>
              <w:t>718</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A-21</w:t>
            </w:r>
          </w:p>
        </w:tc>
        <w:tc>
          <w:tcPr>
            <w:tcW w:type="dxa" w:w="780"/>
          </w:tcPr>
          <w:p>
            <w:pPr>
              <w:spacing w:before="0" w:after="0" w:line="240" w:lineRule="auto"/>
            </w:pPr>
            <w:r>
              <w:rPr>
                <w:rFonts w:ascii="Times New Roman" w:hAnsi="Times New Roman" w:eastAsia="Times New Roman"/>
                <w:sz w:val="16"/>
              </w:rPr>
              <w:t>Nakayama (2014)</w:t>
            </w:r>
          </w:p>
        </w:tc>
        <w:tc>
          <w:tcPr>
            <w:tcW w:type="dxa" w:w="780"/>
          </w:tcPr>
          <w:p>
            <w:pPr>
              <w:spacing w:before="0" w:after="0" w:line="240" w:lineRule="auto"/>
            </w:pPr>
            <w:r>
              <w:rPr>
                <w:rFonts w:ascii="Times New Roman" w:hAnsi="Times New Roman" w:eastAsia="Times New Roman"/>
                <w:sz w:val="16"/>
              </w:rPr>
              <w:t>53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IPIP</w:t>
            </w:r>
          </w:p>
        </w:tc>
        <w:tc>
          <w:tcPr>
            <w:tcW w:type="dxa" w:w="780"/>
          </w:tcPr>
          <w:p>
            <w:pPr>
              <w:spacing w:before="0" w:after="0" w:line="240" w:lineRule="auto"/>
            </w:pPr>
            <w:r>
              <w:rPr>
                <w:rFonts w:ascii="Times New Roman" w:hAnsi="Times New Roman" w:eastAsia="Times New Roman"/>
                <w:sz w:val="16"/>
              </w:rPr>
              <w:t>test_score</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A-22</w:t>
            </w:r>
          </w:p>
        </w:tc>
        <w:tc>
          <w:tcPr>
            <w:tcW w:type="dxa" w:w="780"/>
          </w:tcPr>
          <w:p>
            <w:pPr>
              <w:spacing w:before="0" w:after="0" w:line="240" w:lineRule="auto"/>
            </w:pPr>
            <w:r>
              <w:rPr>
                <w:rFonts w:ascii="Times New Roman" w:hAnsi="Times New Roman" w:eastAsia="Times New Roman"/>
                <w:sz w:val="16"/>
              </w:rPr>
              <w:t>Quigley (2022)</w:t>
            </w:r>
          </w:p>
        </w:tc>
        <w:tc>
          <w:tcPr>
            <w:tcW w:type="dxa" w:w="780"/>
          </w:tcPr>
          <w:p>
            <w:pPr>
              <w:spacing w:before="0" w:after="0" w:line="240" w:lineRule="auto"/>
            </w:pPr>
            <w:r>
              <w:rPr>
                <w:rFonts w:ascii="Times New Roman" w:hAnsi="Times New Roman" w:eastAsia="Times New Roman"/>
                <w:sz w:val="16"/>
              </w:rPr>
              <w:t>301</w:t>
            </w:r>
          </w:p>
        </w:tc>
        <w:tc>
          <w:tcPr>
            <w:tcW w:type="dxa" w:w="780"/>
          </w:tcPr>
          <w:p>
            <w:pPr>
              <w:spacing w:before="0" w:after="0" w:line="240" w:lineRule="auto"/>
            </w:pPr>
            <w:r>
              <w:rPr>
                <w:rFonts w:ascii="Times New Roman" w:hAnsi="Times New Roman" w:eastAsia="Times New Roman"/>
                <w:sz w:val="16"/>
              </w:rPr>
              <w:t>UK</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engagement_performance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A-23</w:t>
            </w:r>
          </w:p>
        </w:tc>
        <w:tc>
          <w:tcPr>
            <w:tcW w:type="dxa" w:w="780"/>
          </w:tcPr>
          <w:p>
            <w:pPr>
              <w:spacing w:before="0" w:after="0" w:line="240" w:lineRule="auto"/>
            </w:pPr>
            <w:r>
              <w:rPr>
                <w:rFonts w:ascii="Times New Roman" w:hAnsi="Times New Roman" w:eastAsia="Times New Roman"/>
                <w:sz w:val="16"/>
              </w:rPr>
              <w:t>Rodrigues (2024)</w:t>
            </w:r>
          </w:p>
        </w:tc>
        <w:tc>
          <w:tcPr>
            <w:tcW w:type="dxa" w:w="780"/>
          </w:tcPr>
          <w:p>
            <w:pPr>
              <w:spacing w:before="0" w:after="0" w:line="240" w:lineRule="auto"/>
            </w:pPr>
            <w:r>
              <w:rPr>
                <w:rFonts w:ascii="Times New Roman" w:hAnsi="Times New Roman" w:eastAsia="Times New Roman"/>
                <w:sz w:val="16"/>
              </w:rPr>
              <w:t>260</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A-24</w:t>
            </w:r>
          </w:p>
        </w:tc>
        <w:tc>
          <w:tcPr>
            <w:tcW w:type="dxa" w:w="780"/>
          </w:tcPr>
          <w:p>
            <w:pPr>
              <w:spacing w:before="0" w:after="0" w:line="240" w:lineRule="auto"/>
            </w:pPr>
            <w:r>
              <w:rPr>
                <w:rFonts w:ascii="Times New Roman" w:hAnsi="Times New Roman" w:eastAsia="Times New Roman"/>
                <w:sz w:val="16"/>
              </w:rPr>
              <w:t>Tlili (2023)</w:t>
            </w:r>
          </w:p>
        </w:tc>
        <w:tc>
          <w:tcPr>
            <w:tcW w:type="dxa" w:w="780"/>
          </w:tcPr>
          <w:p>
            <w:pPr>
              <w:spacing w:before="0" w:after="0" w:line="240" w:lineRule="auto"/>
            </w:pPr>
            <w:r>
              <w:rPr>
                <w:rFonts w:ascii="Times New Roman" w:hAnsi="Times New Roman" w:eastAsia="Times New Roman"/>
                <w:sz w:val="16"/>
              </w:rPr>
              <w:t>65</w:t>
            </w:r>
          </w:p>
        </w:tc>
        <w:tc>
          <w:tcPr>
            <w:tcW w:type="dxa" w:w="780"/>
          </w:tcPr>
          <w:p>
            <w:pPr>
              <w:spacing w:before="0" w:after="0" w:line="240" w:lineRule="auto"/>
            </w:pPr>
            <w:r>
              <w:rPr>
                <w:rFonts w:ascii="Times New Roman" w:hAnsi="Times New Roman" w:eastAsia="Times New Roman"/>
                <w:sz w:val="16"/>
              </w:rPr>
              <w:t>Tunisia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Other</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navigational_behavior</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A-25</w:t>
            </w:r>
          </w:p>
        </w:tc>
        <w:tc>
          <w:tcPr>
            <w:tcW w:type="dxa" w:w="780"/>
          </w:tcPr>
          <w:p>
            <w:pPr>
              <w:spacing w:before="0" w:after="0" w:line="240" w:lineRule="auto"/>
            </w:pPr>
            <w:r>
              <w:rPr>
                <w:rFonts w:ascii="Times New Roman" w:hAnsi="Times New Roman" w:eastAsia="Times New Roman"/>
                <w:sz w:val="16"/>
              </w:rPr>
              <w:t>the author's own prior primary study</w:t>
            </w:r>
          </w:p>
        </w:tc>
        <w:tc>
          <w:tcPr>
            <w:tcW w:type="dxa" w:w="780"/>
          </w:tcPr>
          <w:p>
            <w:pPr>
              <w:spacing w:before="0" w:after="0" w:line="240" w:lineRule="auto"/>
            </w:pPr>
            <w:r>
              <w:rPr>
                <w:rFonts w:ascii="Times New Roman" w:hAnsi="Times New Roman" w:eastAsia="Times New Roman"/>
                <w:sz w:val="16"/>
              </w:rPr>
              <w:t>103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BFI-2-J</w:t>
            </w:r>
          </w:p>
        </w:tc>
        <w:tc>
          <w:tcPr>
            <w:tcW w:type="dxa" w:w="780"/>
          </w:tcPr>
          <w:p>
            <w:pPr>
              <w:spacing w:before="0" w:after="0" w:line="240" w:lineRule="auto"/>
            </w:pPr>
            <w:r>
              <w:rPr>
                <w:rFonts w:ascii="Times New Roman" w:hAnsi="Times New Roman" w:eastAsia="Times New Roman"/>
                <w:sz w:val="16"/>
              </w:rPr>
              <w:t>test_completion</w:t>
            </w:r>
          </w:p>
        </w:tc>
        <w:tc>
          <w:tcPr>
            <w:tcW w:type="dxa" w:w="780"/>
          </w:tcPr>
          <w:p>
            <w:pPr>
              <w:spacing w:before="0" w:after="0" w:line="240" w:lineRule="auto"/>
            </w:pPr>
            <w:r>
              <w:rPr>
                <w:rFonts w:ascii="Times New Roman" w:hAnsi="Times New Roman" w:eastAsia="Times New Roman"/>
                <w:sz w:val="16"/>
              </w:rPr>
              <w:t>Inc (COI)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A-26</w:t>
            </w:r>
          </w:p>
        </w:tc>
        <w:tc>
          <w:tcPr>
            <w:tcW w:type="dxa" w:w="780"/>
          </w:tcPr>
          <w:p>
            <w:pPr>
              <w:spacing w:before="0" w:after="0" w:line="240" w:lineRule="auto"/>
            </w:pPr>
            <w:r>
              <w:rPr>
                <w:rFonts w:ascii="Times New Roman" w:hAnsi="Times New Roman" w:eastAsia="Times New Roman"/>
                <w:sz w:val="16"/>
              </w:rPr>
              <w:t>Wang (2023)</w:t>
            </w:r>
          </w:p>
        </w:tc>
        <w:tc>
          <w:tcPr>
            <w:tcW w:type="dxa" w:w="780"/>
          </w:tcPr>
          <w:p>
            <w:pPr>
              <w:spacing w:before="0" w:after="0" w:line="240" w:lineRule="auto"/>
            </w:pPr>
            <w:r>
              <w:rPr>
                <w:rFonts w:ascii="Times New Roman" w:hAnsi="Times New Roman" w:eastAsia="Times New Roman"/>
                <w:sz w:val="16"/>
              </w:rPr>
              <w:t>1625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achievement_self_report</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A-27</w:t>
            </w:r>
          </w:p>
        </w:tc>
        <w:tc>
          <w:tcPr>
            <w:tcW w:type="dxa" w:w="780"/>
          </w:tcPr>
          <w:p>
            <w:pPr>
              <w:spacing w:before="0" w:after="0" w:line="240" w:lineRule="auto"/>
            </w:pPr>
            <w:r>
              <w:rPr>
                <w:rFonts w:ascii="Times New Roman" w:hAnsi="Times New Roman" w:eastAsia="Times New Roman"/>
                <w:sz w:val="16"/>
              </w:rPr>
              <w:t>Wu_Yu (2024)</w:t>
            </w:r>
          </w:p>
        </w:tc>
        <w:tc>
          <w:tcPr>
            <w:tcW w:type="dxa" w:w="780"/>
          </w:tcPr>
          <w:p>
            <w:pPr>
              <w:spacing w:before="0" w:after="0" w:line="240" w:lineRule="auto"/>
            </w:pPr>
            <w:r>
              <w:rPr>
                <w:rFonts w:ascii="Times New Roman" w:hAnsi="Times New Roman" w:eastAsia="Times New Roman"/>
                <w:sz w:val="16"/>
              </w:rPr>
              <w:t>1004</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e_learning</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Big Five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r>
      <w:tr>
        <w:tc>
          <w:tcPr>
            <w:tcW w:type="dxa" w:w="780"/>
          </w:tcPr>
          <w:p>
            <w:pPr>
              <w:spacing w:before="0" w:after="0" w:line="240" w:lineRule="auto"/>
            </w:pPr>
            <w:r>
              <w:rPr>
                <w:rFonts w:ascii="Times New Roman" w:hAnsi="Times New Roman" w:eastAsia="Times New Roman"/>
                <w:sz w:val="16"/>
              </w:rPr>
              <w:t>A-28</w:t>
            </w:r>
          </w:p>
        </w:tc>
        <w:tc>
          <w:tcPr>
            <w:tcW w:type="dxa" w:w="780"/>
          </w:tcPr>
          <w:p>
            <w:pPr>
              <w:spacing w:before="0" w:after="0" w:line="240" w:lineRule="auto"/>
            </w:pPr>
            <w:r>
              <w:rPr>
                <w:rFonts w:ascii="Times New Roman" w:hAnsi="Times New Roman" w:eastAsia="Times New Roman"/>
                <w:sz w:val="16"/>
              </w:rPr>
              <w:t>Yu (2021)</w:t>
            </w:r>
          </w:p>
        </w:tc>
        <w:tc>
          <w:tcPr>
            <w:tcW w:type="dxa" w:w="780"/>
          </w:tcPr>
          <w:p>
            <w:pPr>
              <w:spacing w:before="0" w:after="0" w:line="240" w:lineRule="auto"/>
            </w:pPr>
            <w:r>
              <w:rPr>
                <w:rFonts w:ascii="Times New Roman" w:hAnsi="Times New Roman" w:eastAsia="Times New Roman"/>
                <w:sz w:val="16"/>
              </w:rPr>
              <w:t>1152</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Big Five Scale (McCrae)</w:t>
            </w:r>
          </w:p>
        </w:tc>
        <w:tc>
          <w:tcPr>
            <w:tcW w:type="dxa" w:w="780"/>
          </w:tcPr>
          <w:p>
            <w:pPr>
              <w:spacing w:before="0" w:after="0" w:line="240" w:lineRule="auto"/>
            </w:pPr>
            <w:r>
              <w:rPr>
                <w:rFonts w:ascii="Times New Roman" w:hAnsi="Times New Roman" w:eastAsia="Times New Roman"/>
                <w:sz w:val="16"/>
              </w:rPr>
              <w:t>MOOC_composite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A-29</w:t>
            </w:r>
          </w:p>
        </w:tc>
        <w:tc>
          <w:tcPr>
            <w:tcW w:type="dxa" w:w="780"/>
          </w:tcPr>
          <w:p>
            <w:pPr>
              <w:spacing w:before="0" w:after="0" w:line="240" w:lineRule="auto"/>
            </w:pPr>
            <w:r>
              <w:rPr>
                <w:rFonts w:ascii="Times New Roman" w:hAnsi="Times New Roman" w:eastAsia="Times New Roman"/>
                <w:sz w:val="16"/>
              </w:rPr>
              <w:t>Bahcekapili (2020)</w:t>
            </w:r>
          </w:p>
        </w:tc>
        <w:tc>
          <w:tcPr>
            <w:tcW w:type="dxa" w:w="780"/>
          </w:tcPr>
          <w:p>
            <w:pPr>
              <w:spacing w:before="0" w:after="0" w:line="240" w:lineRule="auto"/>
            </w:pPr>
            <w:r>
              <w:rPr>
                <w:rFonts w:ascii="Times New Roman" w:hAnsi="Times New Roman" w:eastAsia="Times New Roman"/>
                <w:sz w:val="16"/>
              </w:rPr>
              <w:t>525</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 Turkish</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A-30</w:t>
            </w:r>
          </w:p>
        </w:tc>
        <w:tc>
          <w:tcPr>
            <w:tcW w:type="dxa" w:w="780"/>
          </w:tcPr>
          <w:p>
            <w:pPr>
              <w:spacing w:before="0" w:after="0" w:line="240" w:lineRule="auto"/>
            </w:pPr>
            <w:r>
              <w:rPr>
                <w:rFonts w:ascii="Times New Roman" w:hAnsi="Times New Roman" w:eastAsia="Times New Roman"/>
                <w:sz w:val="16"/>
              </w:rPr>
              <w:t>Kaspar (2023)</w:t>
            </w:r>
          </w:p>
        </w:tc>
        <w:tc>
          <w:tcPr>
            <w:tcW w:type="dxa" w:w="780"/>
          </w:tcPr>
          <w:p>
            <w:pPr>
              <w:spacing w:before="0" w:after="0" w:line="240" w:lineRule="auto"/>
            </w:pPr>
            <w:r>
              <w:rPr>
                <w:rFonts w:ascii="Times New Roman" w:hAnsi="Times New Roman" w:eastAsia="Times New Roman"/>
                <w:sz w:val="16"/>
              </w:rPr>
              <w:t>413</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 German</w:t>
            </w:r>
          </w:p>
        </w:tc>
        <w:tc>
          <w:tcPr>
            <w:tcW w:type="dxa" w:w="780"/>
          </w:tcPr>
          <w:p>
            <w:pPr>
              <w:spacing w:before="0" w:after="0" w:line="240" w:lineRule="auto"/>
            </w:pPr>
            <w:r>
              <w:rPr>
                <w:rFonts w:ascii="Times New Roman" w:hAnsi="Times New Roman" w:eastAsia="Times New Roman"/>
                <w:sz w:val="16"/>
              </w:rPr>
              <w:t>performance_self_rated</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A-31</w:t>
            </w:r>
          </w:p>
        </w:tc>
        <w:tc>
          <w:tcPr>
            <w:tcW w:type="dxa" w:w="780"/>
          </w:tcPr>
          <w:p>
            <w:pPr>
              <w:spacing w:before="0" w:after="0" w:line="240" w:lineRule="auto"/>
            </w:pPr>
            <w:r>
              <w:rPr>
                <w:rFonts w:ascii="Times New Roman" w:hAnsi="Times New Roman" w:eastAsia="Times New Roman"/>
                <w:sz w:val="16"/>
              </w:rPr>
              <w:t>Rivers (2021)</w:t>
            </w:r>
          </w:p>
        </w:tc>
        <w:tc>
          <w:tcPr>
            <w:tcW w:type="dxa" w:w="780"/>
          </w:tcPr>
          <w:p>
            <w:pPr>
              <w:spacing w:before="0" w:after="0" w:line="240" w:lineRule="auto"/>
            </w:pPr>
            <w:r>
              <w:rPr>
                <w:rFonts w:ascii="Times New Roman" w:hAnsi="Times New Roman" w:eastAsia="Times New Roman"/>
                <w:sz w:val="16"/>
              </w:rPr>
              <w:t>149</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TIPI-J</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A-37</w:t>
            </w:r>
          </w:p>
        </w:tc>
        <w:tc>
          <w:tcPr>
            <w:tcW w:type="dxa" w:w="780"/>
          </w:tcPr>
          <w:p>
            <w:pPr>
              <w:spacing w:before="0" w:after="0" w:line="240" w:lineRule="auto"/>
            </w:pPr>
            <w:r>
              <w:rPr>
                <w:rFonts w:ascii="Times New Roman" w:hAnsi="Times New Roman" w:eastAsia="Times New Roman"/>
                <w:sz w:val="16"/>
              </w:rPr>
              <w:t>Zheng (2023)</w:t>
            </w:r>
          </w:p>
        </w:tc>
        <w:tc>
          <w:tcPr>
            <w:tcW w:type="dxa" w:w="780"/>
          </w:tcPr>
          <w:p>
            <w:pPr>
              <w:spacing w:before="0" w:after="0" w:line="240" w:lineRule="auto"/>
            </w:pPr>
            <w:r>
              <w:rPr>
                <w:rFonts w:ascii="Times New Roman" w:hAnsi="Times New Roman" w:eastAsia="Times New Roman"/>
                <w:sz w:val="16"/>
              </w:rPr>
              <w:t>282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Mixed_3era</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TIPI</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4</w:t>
            </w:r>
          </w:p>
        </w:tc>
      </w:tr>
    </w:tbl>
    <w:p>
      <w:pPr>
        <w:spacing w:line="480" w:lineRule="auto" w:before="0" w:after="0"/>
      </w:pPr>
      <w:r>
        <w:rPr>
          <w:rFonts w:ascii="Times New Roman" w:hAnsi="Times New Roman" w:eastAsia="Times New Roman"/>
          <w:sz w:val="24"/>
        </w:rPr>
        <w:t xml:space="preserve">Note. ID = study identifier in the deep-reading-notes ledger (A-XX sequence). </w:t>
      </w:r>
      <w:r>
        <w:rPr>
          <w:rFonts w:ascii="Times New Roman" w:hAnsi="Times New Roman" w:eastAsia="Times New Roman"/>
          <w:i/>
          <w:sz w:val="24"/>
        </w:rPr>
        <w:t>N</w:t>
      </w:r>
      <w:r>
        <w:rPr>
          <w:rFonts w:ascii="Times New Roman" w:hAnsi="Times New Roman" w:eastAsia="Times New Roman"/>
          <w:sz w:val="24"/>
        </w:rPr>
        <w:t xml:space="preserve"> = analytic sample size. Mode (modality): Online = fully online; FtF = face-to-face (excluded at modality screening); Mixed = blended or mode-comparing design; Online* = mode not explicitly specified in the source. Level (education level): UG = undergraduate; Grad = graduate; UG/Grad = mixed undergraduate-graduate; K-12 = elementary through high school; Sec/Post = mixed secondary-postsecondary. Era: pre-COVID ≤ 2019; COVID = 2020–2022; post-COVID ≥ 2023. Region: classified per country of data collection. Instrument: abbreviated personality inventory label. Outcome: abbreviated outcome construct. Inclusion column groups studies into three tiers: (1) QUANTITATIVE PRIMARY POOL (</w:t>
      </w:r>
      <w:r>
        <w:rPr>
          <w:rFonts w:ascii="Times New Roman" w:hAnsi="Times New Roman" w:eastAsia="Times New Roman"/>
          <w:i/>
          <w:sz w:val="24"/>
        </w:rPr>
        <w:t>k</w:t>
      </w:r>
      <w:r>
        <w:rPr>
          <w:rFonts w:ascii="Times New Roman" w:hAnsi="Times New Roman" w:eastAsia="Times New Roman"/>
          <w:sz w:val="24"/>
        </w:rPr>
        <w:t xml:space="preserve"> = 10) — Inc-pri = included in primary achievement pool with direct r; Inc-pri* = included with caveat (β-converted, partial trait coverage, or conditional outcome proxy); Inc (COI) = included with conflict-of-interest flag (author's own prior study, sensitivity analysis excludes). (2) QUALITATIVE / SECONDARY SYNTHESIS (retained for narrative) — Inc-sec = retained in the systematic review for secondary outcomes (satisfaction, engagement, preference, perception) but no extractable </w:t>
      </w:r>
      <w:r>
        <w:rPr>
          <w:rFonts w:ascii="Times New Roman" w:hAnsi="Times New Roman" w:eastAsia="Times New Roman"/>
          <w:i/>
          <w:sz w:val="24"/>
        </w:rPr>
        <w:t>r</w:t>
      </w:r>
      <w:r>
        <w:rPr>
          <w:rFonts w:ascii="Times New Roman" w:hAnsi="Times New Roman" w:eastAsia="Times New Roman"/>
          <w:sz w:val="24"/>
        </w:rPr>
        <w:t xml:space="preserve"> for the primary achievement pool. (3) EXCLUDED POST-ELIGIBILITY (documented for PRISMA transparency, NOT in synthesis) — Exc = excluded at eligibility (face-to-face modality, or no extractable effect size); Exc-dup = excluded due to sample overlap with an already-included study; — = PDF could not be retrieved. The 31 catalogued studies decompose as: 10 primary + 15 secondary = 25 retained, plus 6 documented post-eligibility exclusions. RoB = aggregate score on the Joanna Briggs Institute 8-item critical appraisal checklist (0–8; higher = lower risk). A-14 Eilam (2009) and A-27 Wu &amp; Yu (2024) are omitted from the table because the former was excluded at the modality screening stage (face-to-face) and the latter was not available as a retrievable PDF; both are disclosed in the PRISMA flow (Figure 1). Author-correction notes for studies whose original bibliographic metadata differed from the verified author, year, or country (A-06, A-07, A-08, A-12, A-13, A-16, A-18, A-20) are provided in the OSF project (Supplementary Material).</w:t>
      </w:r>
    </w:p>
    <w:p>
      <w:r>
        <w:br w:type="page"/>
      </w:r>
    </w:p>
    <w:p>
      <w:pPr>
        <w:spacing w:line="480" w:lineRule="auto" w:before="0" w:after="0"/>
      </w:pPr>
      <w:r>
        <w:rPr>
          <w:rFonts w:ascii="Times New Roman" w:hAnsi="Times New Roman"/>
          <w:b/>
          <w:sz w:val="24"/>
        </w:rPr>
        <w:t>Table 2</w:t>
      </w:r>
    </w:p>
    <w:p>
      <w:pPr>
        <w:spacing w:line="480" w:lineRule="auto" w:before="0" w:after="0"/>
      </w:pPr>
      <w:r>
        <w:rPr>
          <w:rFonts w:ascii="Times New Roman" w:hAnsi="Times New Roman"/>
          <w:i/>
          <w:sz w:val="24"/>
        </w:rPr>
        <w:t>Random-Effects Pooled Correlations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before="0" w:after="0" w:line="276" w:lineRule="auto"/>
            </w:pPr>
            <w:r>
              <w:rPr>
                <w:rFonts w:ascii="Times New Roman" w:hAnsi="Times New Roman" w:eastAsia="Times New Roman"/>
                <w:b/>
                <w:sz w:val="20"/>
              </w:rPr>
              <w:t>Trait</w:t>
            </w:r>
          </w:p>
        </w:tc>
        <w:tc>
          <w:tcPr>
            <w:tcW w:type="dxa" w:w="1040"/>
          </w:tcPr>
          <w:p>
            <w:pPr>
              <w:spacing w:before="0" w:after="0" w:line="276" w:lineRule="auto"/>
            </w:pPr>
            <w:r>
              <w:rPr>
                <w:rFonts w:ascii="Times New Roman" w:hAnsi="Times New Roman" w:eastAsia="Times New Roman"/>
                <w:b/>
                <w:sz w:val="20"/>
              </w:rPr>
              <w:t>k</w:t>
            </w:r>
          </w:p>
        </w:tc>
        <w:tc>
          <w:tcPr>
            <w:tcW w:type="dxa" w:w="1040"/>
          </w:tcPr>
          <w:p>
            <w:pPr>
              <w:spacing w:before="0" w:after="0" w:line="276" w:lineRule="auto"/>
            </w:pPr>
            <w:r>
              <w:rPr>
                <w:rFonts w:ascii="Times New Roman" w:hAnsi="Times New Roman" w:eastAsia="Times New Roman"/>
                <w:b/>
                <w:sz w:val="20"/>
              </w:rPr>
              <w:t>N</w:t>
            </w:r>
          </w:p>
        </w:tc>
        <w:tc>
          <w:tcPr>
            <w:tcW w:type="dxa" w:w="1040"/>
          </w:tcPr>
          <w:p>
            <w:pPr>
              <w:spacing w:before="0" w:after="0" w:line="276" w:lineRule="auto"/>
            </w:pPr>
            <w:r>
              <w:rPr>
                <w:rFonts w:ascii="Times New Roman" w:hAnsi="Times New Roman" w:eastAsia="Times New Roman"/>
                <w:b/>
                <w:sz w:val="20"/>
              </w:rPr>
              <w:t>r</w:t>
            </w:r>
          </w:p>
        </w:tc>
        <w:tc>
          <w:tcPr>
            <w:tcW w:type="dxa" w:w="1040"/>
          </w:tcPr>
          <w:p>
            <w:pPr>
              <w:spacing w:before="0" w:after="0" w:line="276" w:lineRule="auto"/>
            </w:pPr>
            <w:r>
              <w:rPr>
                <w:rFonts w:ascii="Times New Roman" w:hAnsi="Times New Roman" w:eastAsia="Times New Roman"/>
                <w:b/>
                <w:sz w:val="20"/>
              </w:rPr>
              <w:t>95% CI</w:t>
            </w:r>
          </w:p>
        </w:tc>
        <w:tc>
          <w:tcPr>
            <w:tcW w:type="dxa" w:w="1040"/>
          </w:tcPr>
          <w:p>
            <w:pPr>
              <w:spacing w:before="0" w:after="0" w:line="276" w:lineRule="auto"/>
            </w:pPr>
            <w:r>
              <w:rPr>
                <w:rFonts w:ascii="Times New Roman" w:hAnsi="Times New Roman" w:eastAsia="Times New Roman"/>
                <w:b/>
                <w:sz w:val="20"/>
              </w:rPr>
              <w:t>95% PI</w:t>
            </w:r>
          </w:p>
        </w:tc>
        <w:tc>
          <w:tcPr>
            <w:tcW w:type="dxa" w:w="1040"/>
          </w:tcPr>
          <w:p>
            <w:pPr>
              <w:spacing w:before="0" w:after="0" w:line="276" w:lineRule="auto"/>
            </w:pPr>
            <w:r>
              <w:rPr>
                <w:rFonts w:ascii="Times New Roman" w:hAnsi="Times New Roman" w:eastAsia="Times New Roman"/>
                <w:b/>
                <w:sz w:val="20"/>
              </w:rPr>
              <w:t>I²</w:t>
            </w:r>
          </w:p>
        </w:tc>
        <w:tc>
          <w:tcPr>
            <w:tcW w:type="dxa" w:w="1040"/>
          </w:tcPr>
          <w:p>
            <w:pPr>
              <w:spacing w:before="0" w:after="0" w:line="276" w:lineRule="auto"/>
            </w:pPr>
            <w:r>
              <w:rPr>
                <w:rFonts w:ascii="Times New Roman" w:hAnsi="Times New Roman" w:eastAsia="Times New Roman"/>
                <w:b/>
                <w:sz w:val="20"/>
              </w:rPr>
              <w:t>τ²</w:t>
            </w:r>
          </w:p>
        </w:tc>
        <w:tc>
          <w:tcPr>
            <w:tcW w:type="dxa" w:w="1040"/>
          </w:tcPr>
          <w:p>
            <w:pPr>
              <w:spacing w:before="0" w:after="0" w:line="276" w:lineRule="auto"/>
            </w:pPr>
            <w:r>
              <w:rPr>
                <w:rFonts w:ascii="Times New Roman" w:hAnsi="Times New Roman" w:eastAsia="Times New Roman"/>
                <w:sz w:val="24"/>
              </w:rPr>
              <w:t>Q(</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040"/>
          </w:tcPr>
          <w:p>
            <w:pPr>
              <w:spacing w:before="0" w:after="0" w:line="276" w:lineRule="auto"/>
            </w:pPr>
            <w:r>
              <w:rPr>
                <w:rFonts w:ascii="Times New Roman" w:hAnsi="Times New Roman" w:eastAsia="Times New Roman"/>
                <w:sz w:val="20"/>
              </w:rPr>
              <w:t>Conscientiousness</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.167</w:t>
            </w:r>
          </w:p>
        </w:tc>
        <w:tc>
          <w:tcPr>
            <w:tcW w:type="dxa" w:w="1040"/>
          </w:tcPr>
          <w:p>
            <w:pPr>
              <w:spacing w:before="0" w:after="0" w:line="276" w:lineRule="auto"/>
            </w:pPr>
            <w:r>
              <w:rPr>
                <w:rFonts w:ascii="Times New Roman" w:hAnsi="Times New Roman" w:eastAsia="Times New Roman"/>
                <w:sz w:val="20"/>
              </w:rPr>
              <w:t>[.089, .243]</w:t>
            </w:r>
          </w:p>
        </w:tc>
        <w:tc>
          <w:tcPr>
            <w:tcW w:type="dxa" w:w="1040"/>
          </w:tcPr>
          <w:p>
            <w:pPr>
              <w:spacing w:before="0" w:after="0" w:line="276" w:lineRule="auto"/>
            </w:pPr>
            <w:r>
              <w:rPr>
                <w:rFonts w:ascii="Times New Roman" w:hAnsi="Times New Roman" w:eastAsia="Times New Roman"/>
                <w:sz w:val="20"/>
              </w:rPr>
              <w:t>[−.020, .343]</w:t>
            </w:r>
          </w:p>
        </w:tc>
        <w:tc>
          <w:tcPr>
            <w:tcW w:type="dxa" w:w="1040"/>
          </w:tcPr>
          <w:p>
            <w:pPr>
              <w:spacing w:before="0" w:after="0" w:line="276" w:lineRule="auto"/>
            </w:pPr>
            <w:r>
              <w:rPr>
                <w:rFonts w:ascii="Times New Roman" w:hAnsi="Times New Roman" w:eastAsia="Times New Roman"/>
                <w:sz w:val="20"/>
              </w:rPr>
              <w:t>65.1%</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25.79(9), .002</w:t>
            </w:r>
          </w:p>
        </w:tc>
      </w:tr>
      <w:tr>
        <w:tc>
          <w:tcPr>
            <w:tcW w:type="dxa" w:w="1040"/>
          </w:tcPr>
          <w:p>
            <w:pPr>
              <w:spacing w:before="0" w:after="0" w:line="276" w:lineRule="auto"/>
            </w:pPr>
            <w:r>
              <w:rPr>
                <w:rFonts w:ascii="Times New Roman" w:hAnsi="Times New Roman" w:eastAsia="Times New Roman"/>
                <w:sz w:val="20"/>
              </w:rPr>
              <w:t>Agreeableness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.112</w:t>
            </w:r>
          </w:p>
        </w:tc>
        <w:tc>
          <w:tcPr>
            <w:tcW w:type="dxa" w:w="1040"/>
          </w:tcPr>
          <w:p>
            <w:pPr>
              <w:spacing w:before="0" w:after="0" w:line="276" w:lineRule="auto"/>
            </w:pPr>
            <w:r>
              <w:rPr>
                <w:rFonts w:ascii="Times New Roman" w:hAnsi="Times New Roman" w:eastAsia="Times New Roman"/>
                <w:sz w:val="20"/>
              </w:rPr>
              <w:t>[−.031, .250]</w:t>
            </w:r>
          </w:p>
        </w:tc>
        <w:tc>
          <w:tcPr>
            <w:tcW w:type="dxa" w:w="1040"/>
          </w:tcPr>
          <w:p>
            <w:pPr>
              <w:spacing w:before="0" w:after="0" w:line="276" w:lineRule="auto"/>
            </w:pPr>
            <w:r>
              <w:rPr>
                <w:rFonts w:ascii="Times New Roman" w:hAnsi="Times New Roman" w:eastAsia="Times New Roman"/>
                <w:sz w:val="20"/>
              </w:rPr>
              <w:t>[−.310, .496]</w:t>
            </w:r>
          </w:p>
        </w:tc>
        <w:tc>
          <w:tcPr>
            <w:tcW w:type="dxa" w:w="1040"/>
          </w:tcPr>
          <w:p>
            <w:pPr>
              <w:spacing w:before="0" w:after="0" w:line="276" w:lineRule="auto"/>
            </w:pPr>
            <w:r>
              <w:rPr>
                <w:rFonts w:ascii="Times New Roman" w:hAnsi="Times New Roman" w:eastAsia="Times New Roman"/>
                <w:sz w:val="20"/>
              </w:rPr>
              <w:t>96.2%</w:t>
            </w:r>
          </w:p>
        </w:tc>
        <w:tc>
          <w:tcPr>
            <w:tcW w:type="dxa" w:w="1040"/>
          </w:tcPr>
          <w:p>
            <w:pPr>
              <w:spacing w:before="0" w:after="0" w:line="276" w:lineRule="auto"/>
            </w:pPr>
            <w:r>
              <w:rPr>
                <w:rFonts w:ascii="Times New Roman" w:hAnsi="Times New Roman" w:eastAsia="Times New Roman"/>
                <w:sz w:val="20"/>
              </w:rPr>
              <w:t>.030</w:t>
            </w:r>
          </w:p>
        </w:tc>
        <w:tc>
          <w:tcPr>
            <w:tcW w:type="dxa" w:w="1040"/>
          </w:tcPr>
          <w:p>
            <w:pPr>
              <w:spacing w:before="0" w:after="0" w:line="276" w:lineRule="auto"/>
            </w:pPr>
            <w:r>
              <w:rPr>
                <w:rFonts w:ascii="Times New Roman" w:hAnsi="Times New Roman" w:eastAsia="Times New Roman"/>
                <w:sz w:val="20"/>
              </w:rPr>
              <w:t>208.49(8), &lt;.001</w:t>
            </w:r>
          </w:p>
        </w:tc>
      </w:tr>
      <w:tr>
        <w:tc>
          <w:tcPr>
            <w:tcW w:type="dxa" w:w="1040"/>
          </w:tcPr>
          <w:p>
            <w:pPr>
              <w:spacing w:before="0" w:after="0" w:line="276" w:lineRule="auto"/>
            </w:pPr>
            <w:r>
              <w:rPr>
                <w:rFonts w:ascii="Times New Roman" w:hAnsi="Times New Roman" w:eastAsia="Times New Roman"/>
                <w:sz w:val="20"/>
              </w:rPr>
              <w:t>Openness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.086</w:t>
            </w:r>
          </w:p>
        </w:tc>
        <w:tc>
          <w:tcPr>
            <w:tcW w:type="dxa" w:w="1040"/>
          </w:tcPr>
          <w:p>
            <w:pPr>
              <w:spacing w:before="0" w:after="0" w:line="276" w:lineRule="auto"/>
            </w:pPr>
            <w:r>
              <w:rPr>
                <w:rFonts w:ascii="Times New Roman" w:hAnsi="Times New Roman" w:eastAsia="Times New Roman"/>
                <w:sz w:val="20"/>
              </w:rPr>
              <w:t>[−.044, .214]</w:t>
            </w:r>
          </w:p>
        </w:tc>
        <w:tc>
          <w:tcPr>
            <w:tcW w:type="dxa" w:w="1040"/>
          </w:tcPr>
          <w:p>
            <w:pPr>
              <w:spacing w:before="0" w:after="0" w:line="276" w:lineRule="auto"/>
            </w:pPr>
            <w:r>
              <w:rPr>
                <w:rFonts w:ascii="Times New Roman" w:hAnsi="Times New Roman" w:eastAsia="Times New Roman"/>
                <w:sz w:val="20"/>
              </w:rPr>
              <w:t>[−.273, .425]</w:t>
            </w:r>
          </w:p>
        </w:tc>
        <w:tc>
          <w:tcPr>
            <w:tcW w:type="dxa" w:w="1040"/>
          </w:tcPr>
          <w:p>
            <w:pPr>
              <w:spacing w:before="0" w:after="0" w:line="276" w:lineRule="auto"/>
            </w:pPr>
            <w:r>
              <w:rPr>
                <w:rFonts w:ascii="Times New Roman" w:hAnsi="Times New Roman" w:eastAsia="Times New Roman"/>
                <w:sz w:val="20"/>
              </w:rPr>
              <w:t>92.0%</w:t>
            </w:r>
          </w:p>
        </w:tc>
        <w:tc>
          <w:tcPr>
            <w:tcW w:type="dxa" w:w="1040"/>
          </w:tcPr>
          <w:p>
            <w:pPr>
              <w:spacing w:before="0" w:after="0" w:line="276" w:lineRule="auto"/>
            </w:pPr>
            <w:r>
              <w:rPr>
                <w:rFonts w:ascii="Times New Roman" w:hAnsi="Times New Roman" w:eastAsia="Times New Roman"/>
                <w:sz w:val="20"/>
              </w:rPr>
              <w:t>.021</w:t>
            </w:r>
          </w:p>
        </w:tc>
        <w:tc>
          <w:tcPr>
            <w:tcW w:type="dxa" w:w="1040"/>
          </w:tcPr>
          <w:p>
            <w:pPr>
              <w:spacing w:before="0" w:after="0" w:line="276" w:lineRule="auto"/>
            </w:pPr>
            <w:r>
              <w:rPr>
                <w:rFonts w:ascii="Times New Roman" w:hAnsi="Times New Roman" w:eastAsia="Times New Roman"/>
                <w:sz w:val="20"/>
              </w:rPr>
              <w:t>100.17(8), &lt;.001</w:t>
            </w:r>
          </w:p>
        </w:tc>
      </w:tr>
      <w:tr>
        <w:tc>
          <w:tcPr>
            <w:tcW w:type="dxa" w:w="1040"/>
          </w:tcPr>
          <w:p>
            <w:pPr>
              <w:spacing w:before="0" w:after="0" w:line="276" w:lineRule="auto"/>
            </w:pPr>
            <w:r>
              <w:rPr>
                <w:rFonts w:ascii="Times New Roman" w:hAnsi="Times New Roman" w:eastAsia="Times New Roman"/>
                <w:sz w:val="20"/>
              </w:rPr>
              <w:t>Neuroticism</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.018</w:t>
            </w:r>
          </w:p>
        </w:tc>
        <w:tc>
          <w:tcPr>
            <w:tcW w:type="dxa" w:w="1040"/>
          </w:tcPr>
          <w:p>
            <w:pPr>
              <w:spacing w:before="0" w:after="0" w:line="276" w:lineRule="auto"/>
            </w:pPr>
            <w:r>
              <w:rPr>
                <w:rFonts w:ascii="Times New Roman" w:hAnsi="Times New Roman" w:eastAsia="Times New Roman"/>
                <w:sz w:val="20"/>
              </w:rPr>
              <w:t>[−.079, .114]</w:t>
            </w:r>
          </w:p>
        </w:tc>
        <w:tc>
          <w:tcPr>
            <w:tcW w:type="dxa" w:w="1040"/>
          </w:tcPr>
          <w:p>
            <w:pPr>
              <w:spacing w:before="0" w:after="0" w:line="276" w:lineRule="auto"/>
            </w:pPr>
            <w:r>
              <w:rPr>
                <w:rFonts w:ascii="Times New Roman" w:hAnsi="Times New Roman" w:eastAsia="Times New Roman"/>
                <w:sz w:val="20"/>
              </w:rPr>
              <w:t>[−.229, .263]</w:t>
            </w:r>
          </w:p>
        </w:tc>
        <w:tc>
          <w:tcPr>
            <w:tcW w:type="dxa" w:w="1040"/>
          </w:tcPr>
          <w:p>
            <w:pPr>
              <w:spacing w:before="0" w:after="0" w:line="276" w:lineRule="auto"/>
            </w:pPr>
            <w:r>
              <w:rPr>
                <w:rFonts w:ascii="Times New Roman" w:hAnsi="Times New Roman" w:eastAsia="Times New Roman"/>
                <w:sz w:val="20"/>
              </w:rPr>
              <w:t>79.0%</w:t>
            </w:r>
          </w:p>
        </w:tc>
        <w:tc>
          <w:tcPr>
            <w:tcW w:type="dxa" w:w="1040"/>
          </w:tcPr>
          <w:p>
            <w:pPr>
              <w:spacing w:before="0" w:after="0" w:line="276" w:lineRule="auto"/>
            </w:pPr>
            <w:r>
              <w:rPr>
                <w:rFonts w:ascii="Times New Roman" w:hAnsi="Times New Roman" w:eastAsia="Times New Roman"/>
                <w:sz w:val="20"/>
              </w:rPr>
              <w:t>.010</w:t>
            </w:r>
          </w:p>
        </w:tc>
        <w:tc>
          <w:tcPr>
            <w:tcW w:type="dxa" w:w="1040"/>
          </w:tcPr>
          <w:p>
            <w:pPr>
              <w:spacing w:before="0" w:after="0" w:line="276" w:lineRule="auto"/>
            </w:pPr>
            <w:r>
              <w:rPr>
                <w:rFonts w:ascii="Times New Roman" w:hAnsi="Times New Roman" w:eastAsia="Times New Roman"/>
                <w:sz w:val="20"/>
              </w:rPr>
              <w:t>42.76(9), &lt;.001</w:t>
            </w:r>
          </w:p>
        </w:tc>
      </w:tr>
      <w:tr>
        <w:tc>
          <w:tcPr>
            <w:tcW w:type="dxa" w:w="1040"/>
          </w:tcPr>
          <w:p>
            <w:pPr>
              <w:spacing w:before="0" w:after="0" w:line="276" w:lineRule="auto"/>
            </w:pPr>
            <w:r>
              <w:rPr>
                <w:rFonts w:ascii="Times New Roman" w:hAnsi="Times New Roman" w:eastAsia="Times New Roman"/>
                <w:sz w:val="20"/>
              </w:rPr>
              <w:t>Extraversion</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.002</w:t>
            </w:r>
          </w:p>
        </w:tc>
        <w:tc>
          <w:tcPr>
            <w:tcW w:type="dxa" w:w="1040"/>
          </w:tcPr>
          <w:p>
            <w:pPr>
              <w:spacing w:before="0" w:after="0" w:line="276" w:lineRule="auto"/>
            </w:pPr>
            <w:r>
              <w:rPr>
                <w:rFonts w:ascii="Times New Roman" w:hAnsi="Times New Roman" w:eastAsia="Times New Roman"/>
                <w:sz w:val="20"/>
              </w:rPr>
              <w:t>[−.076, .080]</w:t>
            </w:r>
          </w:p>
        </w:tc>
        <w:tc>
          <w:tcPr>
            <w:tcW w:type="dxa" w:w="1040"/>
          </w:tcPr>
          <w:p>
            <w:pPr>
              <w:spacing w:before="0" w:after="0" w:line="276" w:lineRule="auto"/>
            </w:pPr>
            <w:r>
              <w:rPr>
                <w:rFonts w:ascii="Times New Roman" w:hAnsi="Times New Roman" w:eastAsia="Times New Roman"/>
                <w:sz w:val="20"/>
              </w:rPr>
              <w:t>[−.195, .200]</w:t>
            </w:r>
          </w:p>
        </w:tc>
        <w:tc>
          <w:tcPr>
            <w:tcW w:type="dxa" w:w="1040"/>
          </w:tcPr>
          <w:p>
            <w:pPr>
              <w:spacing w:before="0" w:after="0" w:line="276" w:lineRule="auto"/>
            </w:pPr>
            <w:r>
              <w:rPr>
                <w:rFonts w:ascii="Times New Roman" w:hAnsi="Times New Roman" w:eastAsia="Times New Roman"/>
                <w:sz w:val="20"/>
              </w:rPr>
              <w:t>75.5%</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32.66(8), &lt;.001</w:t>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independent samples contributing a direct Pearson </w:t>
      </w:r>
      <w:r>
        <w:rPr>
          <w:rFonts w:ascii="Times New Roman" w:hAnsi="Times New Roman" w:eastAsia="Times New Roman"/>
          <w:i/>
          <w:sz w:val="24"/>
        </w:rPr>
        <w:t>r</w:t>
      </w:r>
      <w:r>
        <w:rPr>
          <w:rFonts w:ascii="Times New Roman" w:hAnsi="Times New Roman" w:eastAsia="Times New Roman"/>
          <w:sz w:val="24"/>
        </w:rPr>
        <w:t xml:space="preserve"> or Peterson-Brown-converted </w:t>
      </w:r>
      <w:r>
        <w:rPr>
          <w:rFonts w:ascii="Times New Roman" w:hAnsi="Times New Roman" w:eastAsia="Times New Roman"/>
          <w:i/>
          <w:sz w:val="24"/>
        </w:rPr>
        <w:t>β</w:t>
      </w:r>
      <w:r>
        <w:rPr>
          <w:rFonts w:ascii="Times New Roman" w:hAnsi="Times New Roman" w:eastAsia="Times New Roman"/>
          <w:sz w:val="24"/>
        </w:rPr>
        <w:t xml:space="preserve"> to the trait pool. </w:t>
      </w:r>
      <w:r>
        <w:rPr>
          <w:rFonts w:ascii="Times New Roman" w:hAnsi="Times New Roman" w:eastAsia="Times New Roman"/>
          <w:i/>
          <w:sz w:val="24"/>
        </w:rPr>
        <w:t>N</w:t>
      </w:r>
      <w:r>
        <w:rPr>
          <w:rFonts w:ascii="Times New Roman" w:hAnsi="Times New Roman" w:eastAsia="Times New Roman"/>
          <w:sz w:val="24"/>
        </w:rPr>
        <w:t xml:space="preserve"> = total pooled sample size. </w:t>
      </w:r>
      <w:r>
        <w:rPr>
          <w:rFonts w:ascii="Times New Roman" w:hAnsi="Times New Roman" w:eastAsia="Times New Roman"/>
          <w:i/>
          <w:sz w:val="24"/>
        </w:rPr>
        <w:t>r</w:t>
      </w:r>
      <w:r>
        <w:rPr>
          <w:rFonts w:ascii="Times New Roman" w:hAnsi="Times New Roman" w:eastAsia="Times New Roman"/>
          <w:sz w:val="24"/>
        </w:rPr>
        <w:t xml:space="preserve"> = random-effects REML pooled correlation on the Fisher </w:t>
      </w:r>
      <w:r>
        <w:rPr>
          <w:rFonts w:ascii="Times New Roman" w:hAnsi="Times New Roman" w:eastAsia="Times New Roman"/>
          <w:i/>
          <w:sz w:val="24"/>
        </w:rPr>
        <w:t>z</w:t>
      </w:r>
      <w:r>
        <w:rPr>
          <w:rFonts w:ascii="Times New Roman" w:hAnsi="Times New Roman" w:eastAsia="Times New Roman"/>
          <w:sz w:val="24"/>
        </w:rPr>
        <w:t xml:space="preserve"> scale, back-transformed to </w:t>
      </w:r>
      <w:r>
        <w:rPr>
          <w:rFonts w:ascii="Times New Roman" w:hAnsi="Times New Roman" w:eastAsia="Times New Roman"/>
          <w:i/>
          <w:sz w:val="24"/>
        </w:rPr>
        <w:t>r</w:t>
      </w:r>
      <w:r>
        <w:rPr>
          <w:rFonts w:ascii="Times New Roman" w:hAnsi="Times New Roman" w:eastAsia="Times New Roman"/>
          <w:sz w:val="24"/>
        </w:rPr>
        <w:t xml:space="preserve"> for display. 95% CI = Hartung-Knapp-Sidik-Jonkman–adjusted confidence interval. 95% PI = prediction interval for true effects in a new study. </w:t>
      </w:r>
      <w:r>
        <w:rPr>
          <w:rFonts w:ascii="Times New Roman" w:hAnsi="Times New Roman" w:eastAsia="Times New Roman"/>
          <w:i/>
          <w:sz w:val="24"/>
        </w:rPr>
        <w:t>I²</w:t>
      </w:r>
      <w:r>
        <w:rPr>
          <w:rFonts w:ascii="Times New Roman" w:hAnsi="Times New Roman" w:eastAsia="Times New Roman"/>
          <w:sz w:val="24"/>
        </w:rPr>
        <w:t xml:space="preserve"> = Higgins &amp; Thompson's heterogeneity index. </w:t>
      </w:r>
      <w:r>
        <w:rPr>
          <w:rFonts w:ascii="Times New Roman" w:hAnsi="Times New Roman" w:eastAsia="Times New Roman"/>
          <w:i/>
          <w:sz w:val="24"/>
        </w:rPr>
        <w:t>τ²</w:t>
      </w:r>
      <w:r>
        <w:rPr>
          <w:rFonts w:ascii="Times New Roman" w:hAnsi="Times New Roman" w:eastAsia="Times New Roman"/>
          <w:sz w:val="24"/>
        </w:rPr>
        <w:t xml:space="preserve"> = REML between-study variance. </w:t>
      </w:r>
      <w:r>
        <w:rPr>
          <w:rFonts w:ascii="Times New Roman" w:hAnsi="Times New Roman" w:eastAsia="Times New Roman"/>
          <w:i/>
          <w:sz w:val="24"/>
        </w:rPr>
        <w:t>Q</w:t>
      </w:r>
      <w:r>
        <w:rPr>
          <w:rFonts w:ascii="Times New Roman" w:hAnsi="Times New Roman" w:eastAsia="Times New Roman"/>
          <w:sz w:val="24"/>
        </w:rPr>
        <w:t xml:space="preserve"> = Cochran's heterogeneity statistic; </w:t>
      </w:r>
      <w:r>
        <w:rPr>
          <w:rFonts w:ascii="Times New Roman" w:hAnsi="Times New Roman" w:eastAsia="Times New Roman"/>
          <w:i/>
          <w:sz w:val="24"/>
        </w:rPr>
        <w:t>df</w:t>
      </w:r>
      <w:r>
        <w:rPr>
          <w:rFonts w:ascii="Times New Roman" w:hAnsi="Times New Roman" w:eastAsia="Times New Roman"/>
          <w:sz w:val="24"/>
        </w:rPr>
        <w:t xml:space="preserve"> = degrees of freedom; </w:t>
      </w:r>
      <w:r>
        <w:rPr>
          <w:rFonts w:ascii="Times New Roman" w:hAnsi="Times New Roman" w:eastAsia="Times New Roman"/>
          <w:i/>
          <w:sz w:val="24"/>
        </w:rPr>
        <w:t>p</w:t>
      </w:r>
      <w:r>
        <w:rPr>
          <w:rFonts w:ascii="Times New Roman" w:hAnsi="Times New Roman" w:eastAsia="Times New Roman"/>
          <w:sz w:val="24"/>
        </w:rPr>
        <w:t xml:space="preserve"> = associated p-value. Traits are sorted by pooled </w:t>
      </w:r>
      <w:r>
        <w:rPr>
          <w:rFonts w:ascii="Times New Roman" w:hAnsi="Times New Roman" w:eastAsia="Times New Roman"/>
          <w:i/>
          <w:sz w:val="24"/>
        </w:rPr>
        <w:t>r</w:t>
      </w:r>
      <w:r>
        <w:rPr>
          <w:rFonts w:ascii="Times New Roman" w:hAnsi="Times New Roman" w:eastAsia="Times New Roman"/>
          <w:sz w:val="24"/>
        </w:rPr>
        <w:t xml:space="preserve"> (descending).</w:t>
      </w:r>
    </w:p>
    <w:p>
      <w:r>
        <w:br w:type="page"/>
      </w:r>
    </w:p>
    <w:p>
      <w:pPr>
        <w:spacing w:line="480" w:lineRule="auto" w:before="0" w:after="0"/>
      </w:pPr>
      <w:r>
        <w:rPr>
          <w:rFonts w:ascii="Times New Roman" w:hAnsi="Times New Roman"/>
          <w:b/>
          <w:sz w:val="24"/>
        </w:rPr>
        <w:t>Table 3</w:t>
      </w:r>
    </w:p>
    <w:p>
      <w:pPr>
        <w:spacing w:line="480" w:lineRule="auto" w:before="0" w:after="0"/>
      </w:pPr>
      <w:r>
        <w:rPr>
          <w:rFonts w:ascii="Times New Roman" w:hAnsi="Times New Roman"/>
          <w:i/>
          <w:sz w:val="24"/>
        </w:rPr>
        <w:t>Subgroup Moderator Analyses: Region, Era, and Outcome Type per Big Five Trait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Moderator / Trait</w:t>
            </w:r>
          </w:p>
        </w:tc>
        <w:tc>
          <w:tcPr>
            <w:tcW w:type="dxa" w:w="1872"/>
          </w:tcPr>
          <w:p>
            <w:pPr>
              <w:spacing w:before="0" w:after="0" w:line="276" w:lineRule="auto"/>
            </w:pPr>
            <w:r>
              <w:rPr>
                <w:rFonts w:ascii="Times New Roman" w:hAnsi="Times New Roman" w:eastAsia="Times New Roman"/>
                <w:b/>
                <w:sz w:val="20"/>
              </w:rPr>
              <w:t>Level</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sz w:val="24"/>
              </w:rPr>
              <w:t>Q_between(</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872"/>
          </w:tcPr>
          <w:p>
            <w:pPr>
              <w:spacing w:before="0" w:after="0" w:line="276" w:lineRule="auto"/>
            </w:pPr>
            <w:r>
              <w:rPr>
                <w:rFonts w:ascii="Times New Roman" w:hAnsi="Times New Roman" w:eastAsia="Times New Roman"/>
                <w:sz w:val="20"/>
              </w:rPr>
              <w:t>Region: Conscientiousness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.185 [.082, .284]</w:t>
            </w:r>
          </w:p>
        </w:tc>
        <w:tc>
          <w:tcPr>
            <w:tcW w:type="dxa" w:w="1872"/>
          </w:tcPr>
          <w:p>
            <w:pPr>
              <w:spacing w:before="0" w:after="0" w:line="276" w:lineRule="auto"/>
            </w:pPr>
            <w:r>
              <w:rPr>
                <w:rFonts w:ascii="Times New Roman" w:hAnsi="Times New Roman" w:eastAsia="Times New Roman"/>
                <w:sz w:val="20"/>
              </w:rPr>
              <w:t>2.68(1), .102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.111 [−.039, .257]</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Openness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.053 [−.060, .164]</w:t>
            </w:r>
          </w:p>
        </w:tc>
        <w:tc>
          <w:tcPr>
            <w:tcW w:type="dxa" w:w="1872"/>
          </w:tcPr>
          <w:p>
            <w:pPr>
              <w:spacing w:before="0" w:after="0" w:line="276" w:lineRule="auto"/>
            </w:pPr>
            <w:r>
              <w:rPr>
                <w:rFonts w:ascii="Times New Roman" w:hAnsi="Times New Roman" w:eastAsia="Times New Roman"/>
                <w:sz w:val="20"/>
              </w:rPr>
              <w:t>0.26(1), .612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.164 [−.989, .994]</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Extraversion</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.050 [−.004, .104]</w:t>
            </w:r>
          </w:p>
        </w:tc>
        <w:tc>
          <w:tcPr>
            <w:tcW w:type="dxa" w:w="1872"/>
          </w:tcPr>
          <w:p>
            <w:pPr>
              <w:spacing w:before="0" w:after="0" w:line="276" w:lineRule="auto"/>
            </w:pPr>
            <w:r>
              <w:rPr>
                <w:rFonts w:ascii="Times New Roman" w:hAnsi="Times New Roman" w:eastAsia="Times New Roman"/>
                <w:sz w:val="20"/>
              </w:rPr>
              <w:t>46.43(1),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−.131 [−.314, .061]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Agreeableness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.030 [−.047, .106]</w:t>
            </w:r>
          </w:p>
        </w:tc>
        <w:tc>
          <w:tcPr>
            <w:tcW w:type="dxa" w:w="1872"/>
          </w:tcPr>
          <w:p>
            <w:pPr>
              <w:spacing w:before="0" w:after="0" w:line="276" w:lineRule="auto"/>
            </w:pPr>
            <w:r>
              <w:rPr>
                <w:rFonts w:ascii="Times New Roman" w:hAnsi="Times New Roman" w:eastAsia="Times New Roman"/>
                <w:sz w:val="20"/>
              </w:rPr>
              <w:t>2.17(1), .140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.330 [−.981, .995]</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Neuroticism</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−.007 [−.130, .117]</w:t>
            </w:r>
          </w:p>
        </w:tc>
        <w:tc>
          <w:tcPr>
            <w:tcW w:type="dxa" w:w="1872"/>
          </w:tcPr>
          <w:p>
            <w:pPr>
              <w:spacing w:before="0" w:after="0" w:line="276" w:lineRule="auto"/>
            </w:pPr>
            <w:r>
              <w:rPr>
                <w:rFonts w:ascii="Times New Roman" w:hAnsi="Times New Roman" w:eastAsia="Times New Roman"/>
                <w:sz w:val="20"/>
              </w:rPr>
              <w:t>3.31(1), .069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.089 [.008, .169]</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Conscientiousness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.208 [−.041, .434]</w:t>
            </w:r>
          </w:p>
        </w:tc>
        <w:tc>
          <w:tcPr>
            <w:tcW w:type="dxa" w:w="1872"/>
          </w:tcPr>
          <w:p>
            <w:pPr>
              <w:spacing w:before="0" w:after="0" w:line="276" w:lineRule="auto"/>
            </w:pPr>
            <w:r>
              <w:rPr>
                <w:rFonts w:ascii="Times New Roman" w:hAnsi="Times New Roman" w:eastAsia="Times New Roman"/>
                <w:sz w:val="20"/>
              </w:rPr>
              <w:t>0.13(1), .716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.179 [.095, .260]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Openness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.098 [−.423, .570]</w:t>
            </w:r>
          </w:p>
        </w:tc>
        <w:tc>
          <w:tcPr>
            <w:tcW w:type="dxa" w:w="1872"/>
          </w:tcPr>
          <w:p>
            <w:pPr>
              <w:spacing w:before="0" w:after="0" w:line="276" w:lineRule="auto"/>
            </w:pPr>
            <w:r>
              <w:rPr>
                <w:rFonts w:ascii="Times New Roman" w:hAnsi="Times New Roman" w:eastAsia="Times New Roman"/>
                <w:sz w:val="20"/>
              </w:rPr>
              <w:t>0.00(1), .994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.097 [−.123, .308]</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Extraversion</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[.002, .063]</w:t>
            </w:r>
          </w:p>
        </w:tc>
        <w:tc>
          <w:tcPr>
            <w:tcW w:type="dxa" w:w="1872"/>
          </w:tcPr>
          <w:p>
            <w:pPr>
              <w:spacing w:before="0" w:after="0" w:line="276" w:lineRule="auto"/>
            </w:pPr>
            <w:r>
              <w:rPr>
                <w:rFonts w:ascii="Times New Roman" w:hAnsi="Times New Roman" w:eastAsia="Times New Roman"/>
                <w:sz w:val="20"/>
              </w:rPr>
              <w:t>0.59(1), .443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−.014 [−.180, .153]</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Agreeableness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[−.162, .225]</w:t>
            </w:r>
          </w:p>
        </w:tc>
        <w:tc>
          <w:tcPr>
            <w:tcW w:type="dxa" w:w="1872"/>
          </w:tcPr>
          <w:p>
            <w:pPr>
              <w:spacing w:before="0" w:after="0" w:line="276" w:lineRule="auto"/>
            </w:pPr>
            <w:r>
              <w:rPr>
                <w:rFonts w:ascii="Times New Roman" w:hAnsi="Times New Roman" w:eastAsia="Times New Roman"/>
                <w:sz w:val="20"/>
              </w:rPr>
              <w:t>1.09(1), .296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.153 [−.141, .422]</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Neuroticism</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−.050 [−.173, .074]</w:t>
            </w:r>
          </w:p>
        </w:tc>
        <w:tc>
          <w:tcPr>
            <w:tcW w:type="dxa" w:w="1872"/>
          </w:tcPr>
          <w:p>
            <w:pPr>
              <w:spacing w:before="0" w:after="0" w:line="276" w:lineRule="auto"/>
            </w:pPr>
            <w:r>
              <w:rPr>
                <w:rFonts w:ascii="Times New Roman" w:hAnsi="Times New Roman" w:eastAsia="Times New Roman"/>
                <w:sz w:val="20"/>
              </w:rPr>
              <w:t>2.04(1), .153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.060 [−.125, .240]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Conscientiousness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.147 [.048, .243]</w:t>
            </w:r>
          </w:p>
        </w:tc>
        <w:tc>
          <w:tcPr>
            <w:tcW w:type="dxa" w:w="1872"/>
          </w:tcPr>
          <w:p>
            <w:pPr>
              <w:spacing w:before="0" w:after="0" w:line="276" w:lineRule="auto"/>
            </w:pPr>
            <w:r>
              <w:rPr>
                <w:rFonts w:ascii="Times New Roman" w:hAnsi="Times New Roman" w:eastAsia="Times New Roman"/>
                <w:sz w:val="20"/>
              </w:rPr>
              <w:t>2.40(1), .121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.225 [−.167, .556]</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Openness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.092 [−.086, .265]</w:t>
            </w:r>
          </w:p>
        </w:tc>
        <w:tc>
          <w:tcPr>
            <w:tcW w:type="dxa" w:w="1872"/>
          </w:tcPr>
          <w:p>
            <w:pPr>
              <w:spacing w:before="0" w:after="0" w:line="276" w:lineRule="auto"/>
            </w:pPr>
            <w:r>
              <w:rPr>
                <w:rFonts w:ascii="Times New Roman" w:hAnsi="Times New Roman" w:eastAsia="Times New Roman"/>
                <w:sz w:val="20"/>
              </w:rPr>
              <w:t>0.04(1), .839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.072 [−.637, .715]</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Extraversion</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−.038 [−.115, .039]</w:t>
            </w:r>
          </w:p>
        </w:tc>
        <w:tc>
          <w:tcPr>
            <w:tcW w:type="dxa" w:w="1872"/>
          </w:tcPr>
          <w:p>
            <w:pPr>
              <w:spacing w:before="0" w:after="0" w:line="276" w:lineRule="auto"/>
            </w:pPr>
            <w:r>
              <w:rPr>
                <w:rFonts w:ascii="Times New Roman" w:hAnsi="Times New Roman" w:eastAsia="Times New Roman"/>
                <w:sz w:val="20"/>
              </w:rPr>
              <w:t>17.30(1),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.117 [−.136, .356]</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Agreeableness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.131 [−.054, .308]</w:t>
            </w:r>
          </w:p>
        </w:tc>
        <w:tc>
          <w:tcPr>
            <w:tcW w:type="dxa" w:w="1872"/>
          </w:tcPr>
          <w:p>
            <w:pPr>
              <w:spacing w:before="0" w:after="0" w:line="276" w:lineRule="auto"/>
            </w:pPr>
            <w:r>
              <w:rPr>
                <w:rFonts w:ascii="Times New Roman" w:hAnsi="Times New Roman" w:eastAsia="Times New Roman"/>
                <w:sz w:val="20"/>
              </w:rPr>
              <w:t>0.49(1), .485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.041 [−.862, .881]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Neuroticism</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−.009 [−.097, .080]</w:t>
            </w:r>
          </w:p>
        </w:tc>
        <w:tc>
          <w:tcPr>
            <w:tcW w:type="dxa" w:w="1872"/>
          </w:tcPr>
          <w:p>
            <w:pPr>
              <w:spacing w:before="0" w:after="0" w:line="276" w:lineRule="auto"/>
            </w:pPr>
            <w:r>
              <w:rPr>
                <w:rFonts w:ascii="Times New Roman" w:hAnsi="Times New Roman" w:eastAsia="Times New Roman"/>
                <w:sz w:val="20"/>
              </w:rPr>
              <w:t>0.82(1), .364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.120 [−.926, .954]</w:t>
            </w:r>
          </w:p>
        </w:tc>
        <w:tc>
          <w:tcPr>
            <w:tcW w:type="dxa" w:w="1872"/>
          </w:tcPr>
          <w:p>
            <w:pPr>
              <w:spacing w:before="0" w:after="0" w:line="276" w:lineRule="auto"/>
            </w:pPr>
            <w:r>
              <w:rPr>
                <w:rFonts w:ascii="Times New Roman" w:hAnsi="Times New Roman" w:eastAsia="Times New Roman"/>
                <w:sz w:val="20"/>
              </w:rPr>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studies contributing to each subgroup. </w:t>
      </w:r>
      <w:r>
        <w:rPr>
          <w:rFonts w:ascii="Times New Roman" w:hAnsi="Times New Roman" w:eastAsia="Times New Roman"/>
          <w:i/>
          <w:sz w:val="24"/>
        </w:rPr>
        <w:t>Q_between</w:t>
      </w:r>
      <w:r>
        <w:rPr>
          <w:rFonts w:ascii="Times New Roman" w:hAnsi="Times New Roman" w:eastAsia="Times New Roman"/>
          <w:sz w:val="24"/>
        </w:rPr>
        <w:t xml:space="preserve"> = between-subgroup heterogeneity statistic testing whether subgroups' pooled effects differ significantly. Dagger (†) indicates the two significant subgroup differences at </w:t>
      </w:r>
      <w:r>
        <w:rPr>
          <w:rFonts w:ascii="Times New Roman" w:hAnsi="Times New Roman" w:eastAsia="Times New Roman"/>
          <w:i/>
          <w:sz w:val="24"/>
        </w:rPr>
        <w:t>p</w:t>
      </w:r>
      <w:r>
        <w:rPr>
          <w:rFonts w:ascii="Times New Roman" w:hAnsi="Times New Roman" w:eastAsia="Times New Roman"/>
          <w:sz w:val="24"/>
        </w:rPr>
        <w:t xml:space="preserve"> &lt; .001 after Holm-Bonferroni correction within the Extraversion trait pool. Categorical levels: Asia = East or Middle Eastern samples; non-Asia = European, North American, or Other regions. Era: pre-COVID = data collected ≤2019; COVID-era = 2020–2022. Post-COVID studies (</w:t>
      </w:r>
      <w:r>
        <w:rPr>
          <w:rFonts w:ascii="Times New Roman" w:hAnsi="Times New Roman" w:eastAsia="Times New Roman"/>
          <w:i/>
          <w:sz w:val="24"/>
        </w:rPr>
        <w:t>k</w:t>
      </w:r>
      <w:r>
        <w:rPr>
          <w:rFonts w:ascii="Times New Roman" w:hAnsi="Times New Roman" w:eastAsia="Times New Roman"/>
          <w:sz w:val="24"/>
        </w:rPr>
        <w:t xml:space="preserve"> = 2) were insufficient for subgroup isolation. Outcome type: objective = GPA, course grade, standardized exam, or MOOC platform composite; self-rated = student self-reported performance.</w:t>
      </w:r>
    </w:p>
    <w:p>
      <w:r>
        <w:br w:type="page"/>
      </w:r>
    </w:p>
    <w:p>
      <w:pPr>
        <w:spacing w:line="480" w:lineRule="auto" w:before="0" w:after="0"/>
      </w:pPr>
      <w:r>
        <w:rPr>
          <w:rFonts w:ascii="Times New Roman" w:hAnsi="Times New Roman"/>
          <w:b/>
          <w:sz w:val="24"/>
        </w:rPr>
        <w:t>Table 4</w:t>
      </w:r>
    </w:p>
    <w:p>
      <w:pPr>
        <w:spacing w:line="480" w:lineRule="auto" w:before="0" w:after="0"/>
      </w:pPr>
      <w:r>
        <w:rPr>
          <w:rFonts w:ascii="Times New Roman" w:hAnsi="Times New Roman"/>
          <w:i/>
          <w:sz w:val="24"/>
        </w:rPr>
        <w:t>Pre-Specified Sensitivity Analyses of the Primary Pooled Effect Sizes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Trait</w:t>
            </w:r>
          </w:p>
        </w:tc>
        <w:tc>
          <w:tcPr>
            <w:tcW w:type="dxa" w:w="1872"/>
          </w:tcPr>
          <w:p>
            <w:pPr>
              <w:spacing w:before="0" w:after="0" w:line="276" w:lineRule="auto"/>
            </w:pPr>
            <w:r>
              <w:rPr>
                <w:rFonts w:ascii="Times New Roman" w:hAnsi="Times New Roman" w:eastAsia="Times New Roman"/>
                <w:b/>
                <w:sz w:val="20"/>
              </w:rPr>
              <w:t>Analysis</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b/>
                <w:sz w:val="20"/>
              </w:rPr>
              <w:t>Δr vs primary</w:t>
            </w:r>
          </w:p>
        </w:tc>
      </w:tr>
      <w:tr>
        <w:tc>
          <w:tcPr>
            <w:tcW w:type="dxa" w:w="1872"/>
          </w:tcPr>
          <w:p>
            <w:pPr>
              <w:spacing w:before="0" w:after="0" w:line="276" w:lineRule="auto"/>
            </w:pPr>
            <w:r>
              <w:rPr>
                <w:rFonts w:ascii="Times New Roman" w:hAnsi="Times New Roman" w:eastAsia="Times New Roman"/>
                <w:sz w:val="20"/>
              </w:rPr>
              <w:t>Conscientiousness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[author's own study]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.203 [.105, .298]</w:t>
            </w:r>
          </w:p>
        </w:tc>
        <w:tc>
          <w:tcPr>
            <w:tcW w:type="dxa" w:w="1872"/>
          </w:tcPr>
          <w:p>
            <w:pPr>
              <w:spacing w:before="0" w:after="0" w:line="276" w:lineRule="auto"/>
            </w:pPr>
            <w:r>
              <w:rPr>
                <w:rFonts w:ascii="Times New Roman" w:hAnsi="Times New Roman" w:eastAsia="Times New Roman"/>
                <w:sz w:val="20"/>
              </w:rPr>
              <w:t>+.036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.182 [.111, .252]</w:t>
            </w:r>
          </w:p>
        </w:tc>
        <w:tc>
          <w:tcPr>
            <w:tcW w:type="dxa" w:w="1872"/>
          </w:tcPr>
          <w:p>
            <w:pPr>
              <w:spacing w:before="0" w:after="0" w:line="276" w:lineRule="auto"/>
            </w:pPr>
            <w:r>
              <w:rPr>
                <w:rFonts w:ascii="Times New Roman" w:hAnsi="Times New Roman" w:eastAsia="Times New Roman"/>
                <w:sz w:val="20"/>
              </w:rPr>
              <w:t>+.015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2.14, </w:t>
            </w:r>
            <w:r>
              <w:rPr>
                <w:rFonts w:ascii="Times New Roman" w:hAnsi="Times New Roman" w:eastAsia="Times New Roman"/>
                <w:i/>
                <w:sz w:val="24"/>
              </w:rPr>
              <w:t>p</w:t>
            </w:r>
            <w:r>
              <w:rPr>
                <w:rFonts w:ascii="Times New Roman" w:hAnsi="Times New Roman" w:eastAsia="Times New Roman"/>
                <w:sz w:val="24"/>
              </w:rPr>
              <w:t xml:space="preserve"> = .094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Openness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[author's own study]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.031 [−.117, .178]</w:t>
            </w:r>
          </w:p>
        </w:tc>
        <w:tc>
          <w:tcPr>
            <w:tcW w:type="dxa" w:w="1872"/>
          </w:tcPr>
          <w:p>
            <w:pPr>
              <w:spacing w:before="0" w:after="0" w:line="276" w:lineRule="auto"/>
            </w:pPr>
            <w:r>
              <w:rPr>
                <w:rFonts w:ascii="Times New Roman" w:hAnsi="Times New Roman" w:eastAsia="Times New Roman"/>
                <w:sz w:val="20"/>
              </w:rPr>
              <w:t>−.055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.097 [−.052, .242]</w:t>
            </w:r>
          </w:p>
        </w:tc>
        <w:tc>
          <w:tcPr>
            <w:tcW w:type="dxa" w:w="1872"/>
          </w:tcPr>
          <w:p>
            <w:pPr>
              <w:spacing w:before="0" w:after="0" w:line="276" w:lineRule="auto"/>
            </w:pPr>
            <w:r>
              <w:rPr>
                <w:rFonts w:ascii="Times New Roman" w:hAnsi="Times New Roman" w:eastAsia="Times New Roman"/>
                <w:sz w:val="20"/>
              </w:rPr>
              <w:t>+.011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−6.41, </w:t>
            </w:r>
            <w:r>
              <w:rPr>
                <w:rFonts w:ascii="Times New Roman" w:hAnsi="Times New Roman" w:eastAsia="Times New Roman"/>
                <w:i/>
                <w:sz w:val="24"/>
              </w:rPr>
              <w:t>p</w:t>
            </w:r>
            <w:r>
              <w:rPr>
                <w:rFonts w:ascii="Times New Roman" w:hAnsi="Times New Roman" w:eastAsia="Times New Roman"/>
                <w:sz w:val="24"/>
              </w:rPr>
              <w:t xml:space="preserve"> = .045 †</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.107 [−.017, .228]</w:t>
            </w:r>
          </w:p>
        </w:tc>
        <w:tc>
          <w:tcPr>
            <w:tcW w:type="dxa" w:w="1872"/>
          </w:tcPr>
          <w:p>
            <w:pPr>
              <w:spacing w:before="0" w:after="0" w:line="276" w:lineRule="auto"/>
            </w:pPr>
            <w:r>
              <w:rPr>
                <w:rFonts w:ascii="Times New Roman" w:hAnsi="Times New Roman" w:eastAsia="Times New Roman"/>
                <w:sz w:val="20"/>
              </w:rPr>
              <w:t>+.021</w:t>
            </w:r>
          </w:p>
        </w:tc>
      </w:tr>
      <w:tr>
        <w:tc>
          <w:tcPr>
            <w:tcW w:type="dxa" w:w="1872"/>
          </w:tcPr>
          <w:p>
            <w:pPr>
              <w:spacing w:before="0" w:after="0" w:line="276" w:lineRule="auto"/>
            </w:pPr>
            <w:r>
              <w:rPr>
                <w:rFonts w:ascii="Times New Roman" w:hAnsi="Times New Roman" w:eastAsia="Times New Roman"/>
                <w:sz w:val="20"/>
              </w:rPr>
              <w:t>Extraversion</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[author's own study]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.018 [−.087, .122]</w:t>
            </w:r>
          </w:p>
        </w:tc>
        <w:tc>
          <w:tcPr>
            <w:tcW w:type="dxa" w:w="1872"/>
          </w:tcPr>
          <w:p>
            <w:pPr>
              <w:spacing w:before="0" w:after="0" w:line="276" w:lineRule="auto"/>
            </w:pPr>
            <w:r>
              <w:rPr>
                <w:rFonts w:ascii="Times New Roman" w:hAnsi="Times New Roman" w:eastAsia="Times New Roman"/>
                <w:sz w:val="20"/>
              </w:rPr>
              <w:t>+.016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.003 [−.088, .093]</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2.29, </w:t>
            </w:r>
            <w:r>
              <w:rPr>
                <w:rFonts w:ascii="Times New Roman" w:hAnsi="Times New Roman" w:eastAsia="Times New Roman"/>
                <w:i/>
                <w:sz w:val="24"/>
              </w:rPr>
              <w:t>p</w:t>
            </w:r>
            <w:r>
              <w:rPr>
                <w:rFonts w:ascii="Times New Roman" w:hAnsi="Times New Roman" w:eastAsia="Times New Roman"/>
                <w:sz w:val="24"/>
              </w:rPr>
              <w:t xml:space="preserve"> = .255</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11</w:t>
            </w:r>
          </w:p>
        </w:tc>
        <w:tc>
          <w:tcPr>
            <w:tcW w:type="dxa" w:w="1872"/>
          </w:tcPr>
          <w:p>
            <w:pPr>
              <w:spacing w:before="0" w:after="0" w:line="276" w:lineRule="auto"/>
            </w:pPr>
            <w:r>
              <w:rPr>
                <w:rFonts w:ascii="Times New Roman" w:hAnsi="Times New Roman" w:eastAsia="Times New Roman"/>
                <w:sz w:val="20"/>
              </w:rPr>
              <w:t>−.036 [−.117, .046]</w:t>
            </w:r>
          </w:p>
        </w:tc>
        <w:tc>
          <w:tcPr>
            <w:tcW w:type="dxa" w:w="1872"/>
          </w:tcPr>
          <w:p>
            <w:pPr>
              <w:spacing w:before="0" w:after="0" w:line="276" w:lineRule="auto"/>
            </w:pPr>
            <w:r>
              <w:rPr>
                <w:rFonts w:ascii="Times New Roman" w:hAnsi="Times New Roman" w:eastAsia="Times New Roman"/>
                <w:sz w:val="20"/>
              </w:rPr>
              <w:t>−.038</w:t>
            </w:r>
          </w:p>
        </w:tc>
      </w:tr>
      <w:tr>
        <w:tc>
          <w:tcPr>
            <w:tcW w:type="dxa" w:w="1872"/>
          </w:tcPr>
          <w:p>
            <w:pPr>
              <w:spacing w:before="0" w:after="0" w:line="276" w:lineRule="auto"/>
            </w:pPr>
            <w:r>
              <w:rPr>
                <w:rFonts w:ascii="Times New Roman" w:hAnsi="Times New Roman" w:eastAsia="Times New Roman"/>
                <w:sz w:val="20"/>
              </w:rPr>
              <w:t>Agreeableness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[author's own study]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.067 [−.015, .148]</w:t>
            </w:r>
          </w:p>
        </w:tc>
        <w:tc>
          <w:tcPr>
            <w:tcW w:type="dxa" w:w="1872"/>
          </w:tcPr>
          <w:p>
            <w:pPr>
              <w:spacing w:before="0" w:after="0" w:line="276" w:lineRule="auto"/>
            </w:pPr>
            <w:r>
              <w:rPr>
                <w:rFonts w:ascii="Times New Roman" w:hAnsi="Times New Roman" w:eastAsia="Times New Roman"/>
                <w:sz w:val="20"/>
              </w:rPr>
              <w:t>−.045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.126 [−.036, .281]</w:t>
            </w:r>
          </w:p>
        </w:tc>
        <w:tc>
          <w:tcPr>
            <w:tcW w:type="dxa" w:w="1872"/>
          </w:tcPr>
          <w:p>
            <w:pPr>
              <w:spacing w:before="0" w:after="0" w:line="276" w:lineRule="auto"/>
            </w:pPr>
            <w:r>
              <w:rPr>
                <w:rFonts w:ascii="Times New Roman" w:hAnsi="Times New Roman" w:eastAsia="Times New Roman"/>
                <w:sz w:val="20"/>
              </w:rPr>
              <w:t>+.014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−8.53, </w:t>
            </w:r>
            <w:r>
              <w:rPr>
                <w:rFonts w:ascii="Times New Roman" w:hAnsi="Times New Roman" w:eastAsia="Times New Roman"/>
                <w:i/>
                <w:sz w:val="24"/>
              </w:rPr>
              <w:t>p</w:t>
            </w:r>
            <w:r>
              <w:rPr>
                <w:rFonts w:ascii="Times New Roman" w:hAnsi="Times New Roman" w:eastAsia="Times New Roman"/>
                <w:sz w:val="24"/>
              </w:rPr>
              <w:t xml:space="preserve"> = .072</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Neuroticism</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[author's own study]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−.043 [−.126, .040]</w:t>
            </w:r>
          </w:p>
        </w:tc>
        <w:tc>
          <w:tcPr>
            <w:tcW w:type="dxa" w:w="1872"/>
          </w:tcPr>
          <w:p>
            <w:pPr>
              <w:spacing w:before="0" w:after="0" w:line="276" w:lineRule="auto"/>
            </w:pPr>
            <w:r>
              <w:rPr>
                <w:rFonts w:ascii="Times New Roman" w:hAnsi="Times New Roman" w:eastAsia="Times New Roman"/>
                <w:sz w:val="20"/>
              </w:rPr>
              <w:t>−.061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.019 [−.093, .130]</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−1.79, </w:t>
            </w:r>
            <w:r>
              <w:rPr>
                <w:rFonts w:ascii="Times New Roman" w:hAnsi="Times New Roman" w:eastAsia="Times New Roman"/>
                <w:i/>
                <w:sz w:val="24"/>
              </w:rPr>
              <w:t>p</w:t>
            </w:r>
            <w:r>
              <w:rPr>
                <w:rFonts w:ascii="Times New Roman" w:hAnsi="Times New Roman" w:eastAsia="Times New Roman"/>
                <w:sz w:val="24"/>
              </w:rPr>
              <w:t xml:space="preserve"> = .304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bl>
    <w:p>
      <w:pPr>
        <w:spacing w:line="480" w:lineRule="auto" w:before="0" w:after="0"/>
      </w:pPr>
      <w:r>
        <w:rPr>
          <w:rFonts w:ascii="Times New Roman" w:hAnsi="Times New Roman" w:eastAsia="Times New Roman"/>
          <w:sz w:val="24"/>
        </w:rPr>
        <w:t>Note. Δr = change in pooled correlation from the primary analysis. A double dagger (‡) denotes a sensitivity-analysis-induced shift exceeding |Δr| = .05, which is considered potentially influential per the pre-registered threshold. A single dagger (†) denotes a significant Egger test at p &lt; .05. "Exclude [author's own study] (COI)" removes the present author's prior primary study (the author's own prior primary study); the zero delta reflects that this study did not contribute a direct r to the primary pool. "Exclude β-converted" restricts the pool to studies reporting direct Pearson r or Spearman ρ. "Exclude RoB &lt; 5" removes studies scoring below the pre-specified low-bias threshold of 5 on the JBI 8-item checklist.</w:t>
      </w:r>
    </w:p>
    <w:p>
      <w:r>
        <w:br w:type="page"/>
      </w:r>
    </w:p>
    <w:p>
      <w:pPr>
        <w:spacing w:line="480" w:lineRule="auto" w:before="0" w:after="0"/>
      </w:pPr>
      <w:r>
        <w:rPr>
          <w:rFonts w:ascii="Times New Roman" w:hAnsi="Times New Roman"/>
          <w:b/>
          <w:sz w:val="24"/>
        </w:rPr>
        <w:t>Table 5</w:t>
      </w:r>
    </w:p>
    <w:p>
      <w:pPr>
        <w:spacing w:line="480" w:lineRule="auto" w:before="0" w:after="0"/>
      </w:pPr>
      <w:r>
        <w:rPr>
          <w:rFonts w:ascii="Times New Roman" w:hAnsi="Times New Roman"/>
          <w:i/>
          <w:sz w:val="24"/>
        </w:rPr>
        <w:t>GRADE Summary of Findings: Confidence in the Pooled Associations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before="0" w:after="0" w:line="276" w:lineRule="auto"/>
            </w:pPr>
            <w:r>
              <w:rPr>
                <w:rFonts w:ascii="Times New Roman" w:hAnsi="Times New Roman" w:eastAsia="Times New Roman"/>
                <w:sz w:val="24"/>
              </w:rPr>
              <w:t>Trait (</w:t>
            </w:r>
            <w:r>
              <w:rPr>
                <w:rFonts w:ascii="Times New Roman" w:hAnsi="Times New Roman" w:eastAsia="Times New Roman"/>
                <w:i/>
                <w:sz w:val="24"/>
              </w:rPr>
              <w:t>k</w:t>
            </w:r>
            <w:r>
              <w:rPr>
                <w:rFonts w:ascii="Times New Roman" w:hAnsi="Times New Roman" w:eastAsia="Times New Roman"/>
                <w:sz w:val="24"/>
              </w:rPr>
              <w:t xml:space="preserve">, </w:t>
            </w:r>
            <w:r>
              <w:rPr>
                <w:rFonts w:ascii="Times New Roman" w:hAnsi="Times New Roman" w:eastAsia="Times New Roman"/>
                <w:i/>
                <w:sz w:val="24"/>
              </w:rPr>
              <w:t>N</w:t>
            </w:r>
            <w:r>
              <w:rPr>
                <w:rFonts w:ascii="Times New Roman" w:hAnsi="Times New Roman" w:eastAsia="Times New Roman"/>
                <w:sz w:val="24"/>
              </w:rPr>
              <w:t>)</w:t>
            </w:r>
          </w:p>
        </w:tc>
        <w:tc>
          <w:tcPr>
            <w:tcW w:type="dxa" w:w="1170"/>
          </w:tcPr>
          <w:p>
            <w:pPr>
              <w:spacing w:before="0" w:after="0" w:line="276" w:lineRule="auto"/>
            </w:pPr>
            <w:r>
              <w:rPr>
                <w:rFonts w:ascii="Times New Roman" w:hAnsi="Times New Roman" w:eastAsia="Times New Roman"/>
                <w:b/>
                <w:sz w:val="20"/>
              </w:rPr>
              <w:t>Risk of Bias</w:t>
            </w:r>
          </w:p>
        </w:tc>
        <w:tc>
          <w:tcPr>
            <w:tcW w:type="dxa" w:w="1170"/>
          </w:tcPr>
          <w:p>
            <w:pPr>
              <w:spacing w:before="0" w:after="0" w:line="276" w:lineRule="auto"/>
            </w:pPr>
            <w:r>
              <w:rPr>
                <w:rFonts w:ascii="Times New Roman" w:hAnsi="Times New Roman" w:eastAsia="Times New Roman"/>
                <w:b/>
                <w:sz w:val="20"/>
              </w:rPr>
              <w:t>Inconsistency</w:t>
            </w:r>
          </w:p>
        </w:tc>
        <w:tc>
          <w:tcPr>
            <w:tcW w:type="dxa" w:w="1170"/>
          </w:tcPr>
          <w:p>
            <w:pPr>
              <w:spacing w:before="0" w:after="0" w:line="276" w:lineRule="auto"/>
            </w:pPr>
            <w:r>
              <w:rPr>
                <w:rFonts w:ascii="Times New Roman" w:hAnsi="Times New Roman" w:eastAsia="Times New Roman"/>
                <w:b/>
                <w:sz w:val="20"/>
              </w:rPr>
              <w:t>Indirectness</w:t>
            </w:r>
          </w:p>
        </w:tc>
        <w:tc>
          <w:tcPr>
            <w:tcW w:type="dxa" w:w="1170"/>
          </w:tcPr>
          <w:p>
            <w:pPr>
              <w:spacing w:before="0" w:after="0" w:line="276" w:lineRule="auto"/>
            </w:pPr>
            <w:r>
              <w:rPr>
                <w:rFonts w:ascii="Times New Roman" w:hAnsi="Times New Roman" w:eastAsia="Times New Roman"/>
                <w:b/>
                <w:sz w:val="20"/>
              </w:rPr>
              <w:t>Imprecision</w:t>
            </w:r>
          </w:p>
        </w:tc>
        <w:tc>
          <w:tcPr>
            <w:tcW w:type="dxa" w:w="1170"/>
          </w:tcPr>
          <w:p>
            <w:pPr>
              <w:spacing w:before="0" w:after="0" w:line="276" w:lineRule="auto"/>
            </w:pPr>
            <w:r>
              <w:rPr>
                <w:rFonts w:ascii="Times New Roman" w:hAnsi="Times New Roman" w:eastAsia="Times New Roman"/>
                <w:b/>
                <w:sz w:val="20"/>
              </w:rPr>
              <w:t>Publication Bias</w:t>
            </w:r>
          </w:p>
        </w:tc>
        <w:tc>
          <w:tcPr>
            <w:tcW w:type="dxa" w:w="1170"/>
          </w:tcPr>
          <w:p>
            <w:pPr>
              <w:spacing w:before="0" w:after="0" w:line="276" w:lineRule="auto"/>
            </w:pPr>
            <w:r>
              <w:rPr>
                <w:rFonts w:ascii="Times New Roman" w:hAnsi="Times New Roman" w:eastAsia="Times New Roman"/>
                <w:b/>
                <w:sz w:val="20"/>
              </w:rPr>
              <w:t>Magnitude</w:t>
            </w:r>
          </w:p>
        </w:tc>
        <w:tc>
          <w:tcPr>
            <w:tcW w:type="dxa" w:w="1170"/>
          </w:tcPr>
          <w:p>
            <w:pPr>
              <w:spacing w:before="0" w:after="0" w:line="276" w:lineRule="auto"/>
            </w:pPr>
            <w:r>
              <w:rPr>
                <w:rFonts w:ascii="Times New Roman" w:hAnsi="Times New Roman" w:eastAsia="Times New Roman"/>
                <w:b/>
                <w:sz w:val="20"/>
              </w:rPr>
              <w:t>GRADE</w:t>
            </w:r>
          </w:p>
        </w:tc>
      </w:tr>
      <w:tr>
        <w:tc>
          <w:tcPr>
            <w:tcW w:type="dxa" w:w="1170"/>
          </w:tcPr>
          <w:p>
            <w:pPr>
              <w:spacing w:before="0" w:after="0" w:line="276" w:lineRule="auto"/>
            </w:pPr>
            <w:r>
              <w:rPr>
                <w:rFonts w:ascii="Times New Roman" w:hAnsi="Times New Roman" w:eastAsia="Times New Roman"/>
                <w:sz w:val="24"/>
              </w:rPr>
              <w:t>Conscientiousness</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JBI=5.80)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=65.1%)</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(CI width=.15)</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=.094)</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=.167)</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Openness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=92.0%)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=.045)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=.086)</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Extraversion</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=75.5%)</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(null robust)</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=.255)</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=.002)</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Agreeableness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=96.2%)</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=.072)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=.112)</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Neuroticism</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JBI=5.80)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=79.0%)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(null, wide CI)</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=.304)</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=.018)</w:t>
            </w:r>
          </w:p>
        </w:tc>
        <w:tc>
          <w:tcPr>
            <w:tcW w:type="dxa" w:w="1170"/>
          </w:tcPr>
          <w:p>
            <w:pPr>
              <w:spacing w:before="0" w:after="0" w:line="276" w:lineRule="auto"/>
            </w:pPr>
            <w:r>
              <w:rPr>
                <w:rFonts w:ascii="Times New Roman" w:hAnsi="Times New Roman" w:eastAsia="Times New Roman"/>
                <w:sz w:val="20"/>
              </w:rPr>
              <w:t>Low</w:t>
            </w:r>
          </w:p>
        </w:tc>
      </w:tr>
    </w:tbl>
    <w:p>
      <w:pPr>
        <w:spacing w:line="480" w:lineRule="auto" w:before="0" w:after="0"/>
      </w:pPr>
      <w:r>
        <w:rPr>
          <w:rFonts w:ascii="Times New Roman" w:hAnsi="Times New Roman" w:eastAsia="Times New Roman"/>
          <w:sz w:val="24"/>
        </w:rPr>
        <w:t>Note. GRADE = Grading of Recommendations, Assessment, Development and Evaluations, adapted for observational correlational syntheses (Schünemann et al., 2019). Five standard domains are evaluated per trait: Risk of Bias (mean JBI aggregate score across studies in the pool; serious if mean &lt; 5), Inconsistency (</w:t>
      </w:r>
      <w:r>
        <w:rPr>
          <w:rFonts w:ascii="Times New Roman" w:hAnsi="Times New Roman" w:eastAsia="Times New Roman"/>
          <w:i/>
          <w:sz w:val="24"/>
        </w:rPr>
        <w:t>I²</w:t>
      </w:r>
      <w:r>
        <w:rPr>
          <w:rFonts w:ascii="Times New Roman" w:hAnsi="Times New Roman" w:eastAsia="Times New Roman"/>
          <w:sz w:val="24"/>
        </w:rPr>
        <w:t xml:space="preserve"> and prediction interval; serious if </w:t>
      </w:r>
      <w:r>
        <w:rPr>
          <w:rFonts w:ascii="Times New Roman" w:hAnsi="Times New Roman" w:eastAsia="Times New Roman"/>
          <w:i/>
          <w:sz w:val="24"/>
        </w:rPr>
        <w:t>I²</w:t>
      </w:r>
      <w:r>
        <w:rPr>
          <w:rFonts w:ascii="Times New Roman" w:hAnsi="Times New Roman" w:eastAsia="Times New Roman"/>
          <w:sz w:val="24"/>
        </w:rPr>
        <w:t xml:space="preserve"> &gt; 50%, very serious if </w:t>
      </w:r>
      <w:r>
        <w:rPr>
          <w:rFonts w:ascii="Times New Roman" w:hAnsi="Times New Roman" w:eastAsia="Times New Roman"/>
          <w:i/>
          <w:sz w:val="24"/>
        </w:rPr>
        <w:t>I²</w:t>
      </w:r>
      <w:r>
        <w:rPr>
          <w:rFonts w:ascii="Times New Roman" w:hAnsi="Times New Roman" w:eastAsia="Times New Roman"/>
          <w:sz w:val="24"/>
        </w:rPr>
        <w:t xml:space="preserve"> &gt; 75%), Indirectness (population, exposure, or outcome indirectness relative to the review question), Imprecision (serious if 95% CI crosses the null or is wider than 2 × MOI of |r| = .10), and Publication Bias (serious if Egger's test is significant at </w:t>
      </w:r>
      <w:r>
        <w:rPr>
          <w:rFonts w:ascii="Times New Roman" w:hAnsi="Times New Roman" w:eastAsia="Times New Roman"/>
          <w:i/>
          <w:sz w:val="24"/>
        </w:rPr>
        <w:t>p</w:t>
      </w:r>
      <w:r>
        <w:rPr>
          <w:rFonts w:ascii="Times New Roman" w:hAnsi="Times New Roman" w:eastAsia="Times New Roman"/>
          <w:sz w:val="24"/>
        </w:rPr>
        <w:t xml:space="preserve"> &lt; .05 with asymmetric funnel plot). Magnitude (|r|) is provided for descriptive context but was not grounds for upgrade under the large-magnitude criterion of |r| ≥ .30. Dagger (†) denotes Egger's test intercept suggestive of small-study or publication bias. GRADE ratings: High = further research is very unlikely to change confidence; Moderate = further research is likely to have an important impact; Low = further research is very likely to have an important impact; Very Low = any estimate of effect is very uncertain. All estimates in the present synthesis fall within the Moderate-to-Low confidence range, reflecting the modest </w:t>
      </w:r>
      <w:r>
        <w:rPr>
          <w:rFonts w:ascii="Times New Roman" w:hAnsi="Times New Roman" w:eastAsia="Times New Roman"/>
          <w:i/>
          <w:sz w:val="24"/>
        </w:rPr>
        <w:t>k</w:t>
      </w:r>
      <w:r>
        <w:rPr>
          <w:rFonts w:ascii="Times New Roman" w:hAnsi="Times New Roman" w:eastAsia="Times New Roman"/>
          <w:sz w:val="24"/>
        </w:rPr>
        <w:t xml:space="preserve"> of the available online-specific literature.</w:t>
      </w:r>
    </w:p>
    <w:p>
      <w:r>
        <w:br w:type="page"/>
      </w:r>
    </w:p>
    <w:p>
      <w:pPr>
        <w:spacing w:line="480" w:lineRule="auto" w:before="0" w:after="0"/>
      </w:pPr>
      <w:r>
        <w:rPr>
          <w:rFonts w:ascii="Times New Roman" w:hAnsi="Times New Roman"/>
          <w:b/>
          <w:sz w:val="24"/>
        </w:rPr>
        <w:t>Figure 1</w:t>
      </w:r>
    </w:p>
    <w:p>
      <w:pPr>
        <w:spacing w:line="480" w:lineRule="auto" w:before="0" w:after="0"/>
      </w:pPr>
      <w:r>
        <w:rPr>
          <w:rFonts w:ascii="Times New Roman" w:hAnsi="Times New Roman"/>
          <w:i/>
          <w:sz w:val="24"/>
        </w:rPr>
        <w:t>PRISMA 2020 Flow Diagram of the Study Selection Process</w:t>
      </w:r>
    </w:p>
    <w:p>
      <w:pPr>
        <w:jc w:val="center"/>
      </w:pPr>
      <w:r>
        <w:drawing>
          <wp:inline xmlns:a="http://schemas.openxmlformats.org/drawingml/2006/main" xmlns:pic="http://schemas.openxmlformats.org/drawingml/2006/picture">
            <wp:extent cx="5486400" cy="7251492"/>
            <wp:docPr id="1" name="Picture 1"/>
            <wp:cNvGraphicFramePr>
              <a:graphicFrameLocks noChangeAspect="1"/>
            </wp:cNvGraphicFramePr>
            <a:graphic>
              <a:graphicData uri="http://schemas.openxmlformats.org/drawingml/2006/picture">
                <pic:pic>
                  <pic:nvPicPr>
                    <pic:cNvPr id="0" name="prisma_flow.png"/>
                    <pic:cNvPicPr/>
                  </pic:nvPicPr>
                  <pic:blipFill>
                    <a:blip r:embed="rId10"/>
                    <a:stretch>
                      <a:fillRect/>
                    </a:stretch>
                  </pic:blipFill>
                  <pic:spPr>
                    <a:xfrm>
                      <a:off x="0" y="0"/>
                      <a:ext cx="5486400" cy="7251492"/>
                    </a:xfrm>
                    <a:prstGeom prst="rect"/>
                  </pic:spPr>
                </pic:pic>
              </a:graphicData>
            </a:graphic>
          </wp:inline>
        </w:drawing>
      </w:r>
    </w:p>
    <w:p>
      <w:pPr>
        <w:spacing w:line="480" w:lineRule="auto" w:before="0" w:after="0"/>
      </w:pPr>
      <w:r>
        <w:rPr>
          <w:rFonts w:ascii="Times New Roman" w:hAnsi="Times New Roman" w:eastAsia="Times New Roman"/>
          <w:sz w:val="24"/>
        </w:rPr>
        <w:t>Note. Flow diagram adapted from the PRISMA 2020 statement (Page et al., 2021). Records were identified through WebSearch-based formal search (</w:t>
      </w:r>
      <w:r>
        <w:rPr>
          <w:rFonts w:ascii="Times New Roman" w:hAnsi="Times New Roman" w:eastAsia="Times New Roman"/>
          <w:i/>
          <w:sz w:val="24"/>
        </w:rPr>
        <w:t>n</w:t>
      </w:r>
      <w:r>
        <w:rPr>
          <w:rFonts w:ascii="Times New Roman" w:hAnsi="Times New Roman" w:eastAsia="Times New Roman"/>
          <w:sz w:val="24"/>
        </w:rPr>
        <w:t xml:space="preserve"> = 80 from eight structured queries), preliminary informal search yielding a previously curated corpus (</w:t>
      </w:r>
      <w:r>
        <w:rPr>
          <w:rFonts w:ascii="Times New Roman" w:hAnsi="Times New Roman" w:eastAsia="Times New Roman"/>
          <w:i/>
          <w:sz w:val="24"/>
        </w:rPr>
        <w:t>n</w:t>
      </w:r>
      <w:r>
        <w:rPr>
          <w:rFonts w:ascii="Times New Roman" w:hAnsi="Times New Roman" w:eastAsia="Times New Roman"/>
          <w:sz w:val="24"/>
        </w:rPr>
        <w:t xml:space="preserve"> = 28), and citation snowballing combined with open-access repository downloads (</w:t>
      </w:r>
      <w:r>
        <w:rPr>
          <w:rFonts w:ascii="Times New Roman" w:hAnsi="Times New Roman" w:eastAsia="Times New Roman"/>
          <w:i/>
          <w:sz w:val="24"/>
        </w:rPr>
        <w:t>n</w:t>
      </w:r>
      <w:r>
        <w:rPr>
          <w:rFonts w:ascii="Times New Roman" w:hAnsi="Times New Roman" w:eastAsia="Times New Roman"/>
          <w:sz w:val="24"/>
        </w:rPr>
        <w:t xml:space="preserve"> = 12), for a total of 120 records. After deduplication (</w:t>
      </w:r>
      <w:r>
        <w:rPr>
          <w:rFonts w:ascii="Times New Roman" w:hAnsi="Times New Roman" w:eastAsia="Times New Roman"/>
          <w:i/>
          <w:sz w:val="24"/>
        </w:rPr>
        <w:t>n</w:t>
      </w:r>
      <w:r>
        <w:rPr>
          <w:rFonts w:ascii="Times New Roman" w:hAnsi="Times New Roman" w:eastAsia="Times New Roman"/>
          <w:sz w:val="24"/>
        </w:rPr>
        <w:t xml:space="preserve"> = 40 removed), 80 records underwent title and abstract screening, with 25 excluded primarily for wrong population, non-Big-Five personality frameworks, or no online learning component. Of 43 full-text reports sought, 5 were not retrievable (paywall), and 38 were assessed for eligibility. Eleven reports were excluded at the full-text stage with explicit reasons: non-Big-Five framework (</w:t>
      </w:r>
      <w:r>
        <w:rPr>
          <w:rFonts w:ascii="Times New Roman" w:hAnsi="Times New Roman" w:eastAsia="Times New Roman"/>
          <w:i/>
          <w:sz w:val="24"/>
        </w:rPr>
        <w:t>n</w:t>
      </w:r>
      <w:r>
        <w:rPr>
          <w:rFonts w:ascii="Times New Roman" w:hAnsi="Times New Roman" w:eastAsia="Times New Roman"/>
          <w:sz w:val="24"/>
        </w:rPr>
        <w:t xml:space="preserve"> = 5; MBTI, Proactive Personality, TAM, TUE, and other non-FFM operationalization), face-to-face modality (</w:t>
      </w:r>
      <w:r>
        <w:rPr>
          <w:rFonts w:ascii="Times New Roman" w:hAnsi="Times New Roman" w:eastAsia="Times New Roman"/>
          <w:i/>
          <w:sz w:val="24"/>
        </w:rPr>
        <w:t>n</w:t>
      </w:r>
      <w:r>
        <w:rPr>
          <w:rFonts w:ascii="Times New Roman" w:hAnsi="Times New Roman" w:eastAsia="Times New Roman"/>
          <w:sz w:val="24"/>
        </w:rPr>
        <w:t xml:space="preserve"> = 4; A-09 Bhattacharjee &amp; Ramkumar, 2025; A-10 Boonyapison et al., 2025; A-14 Eilam et al., 2009; A-16 Hidalgo-Fuentes et al., 2024), sample overlap with an already-included study (</w:t>
      </w:r>
      <w:r>
        <w:rPr>
          <w:rFonts w:ascii="Times New Roman" w:hAnsi="Times New Roman" w:eastAsia="Times New Roman"/>
          <w:i/>
          <w:sz w:val="24"/>
        </w:rPr>
        <w:t>n</w:t>
      </w:r>
      <w:r>
        <w:rPr>
          <w:rFonts w:ascii="Times New Roman" w:hAnsi="Times New Roman" w:eastAsia="Times New Roman"/>
          <w:sz w:val="24"/>
        </w:rPr>
        <w:t xml:space="preserve"> = 1; A-05 Audet et al., 2023 overlapped with A-04 Audet et al., 2021), and effect size not extractable (</w:t>
      </w:r>
      <w:r>
        <w:rPr>
          <w:rFonts w:ascii="Times New Roman" w:hAnsi="Times New Roman" w:eastAsia="Times New Roman"/>
          <w:i/>
          <w:sz w:val="24"/>
        </w:rPr>
        <w:t>n</w:t>
      </w:r>
      <w:r>
        <w:rPr>
          <w:rFonts w:ascii="Times New Roman" w:hAnsi="Times New Roman" w:eastAsia="Times New Roman"/>
          <w:sz w:val="24"/>
        </w:rPr>
        <w:t xml:space="preserve"> = 1; A-24 Tlili et al., 2023, lag sequential analysis). The remaining studies, supplemented by four newly identified primary studies (A-29 Bahçekapılı &amp; Karaman, 2020; A-30 Kaspar et al., 2023; A-31 Rivers, 2021; A-37 Zheng &amp; Zheng, 2023), yielded 31 primary studies catalogued in this review (Table 1). Of these, 25 were retained for qualitative synthesis, and 10 contributed direct Pearson correlations or β-converted effect sizes to the primary quantitative achievement pool (with two studies — A-28 Yu, 2021 and A-30 Kaspar et al., 2023 — providing β-converted effect sizes via Peterson and Brown's, 2005, approximation). The remaining 15 retained studies contributed only to secondary-outcome narrative synthesis.</w:t>
      </w:r>
    </w:p>
    <w:p>
      <w:r>
        <w:br w:type="page"/>
      </w:r>
    </w:p>
    <w:p>
      <w:pPr>
        <w:spacing w:line="480" w:lineRule="auto" w:before="0" w:after="0"/>
      </w:pPr>
      <w:r>
        <w:rPr>
          <w:rFonts w:ascii="Times New Roman" w:hAnsi="Times New Roman"/>
          <w:b/>
          <w:sz w:val="24"/>
        </w:rPr>
        <w:t>Figure 2</w:t>
      </w:r>
    </w:p>
    <w:p>
      <w:pPr>
        <w:spacing w:line="480" w:lineRule="auto" w:before="0" w:after="0"/>
      </w:pPr>
      <w:r>
        <w:rPr>
          <w:rFonts w:ascii="Times New Roman" w:hAnsi="Times New Roman"/>
          <w:i/>
          <w:sz w:val="24"/>
        </w:rPr>
        <w:t>Forest Plot: Conscientiousness and Academic Achievement in Online Learning Environments</w:t>
      </w:r>
    </w:p>
    <w:p>
      <w:pPr>
        <w:jc w:val="center"/>
      </w:pPr>
      <w:r>
        <w:drawing>
          <wp:inline xmlns:a="http://schemas.openxmlformats.org/drawingml/2006/main" xmlns:pic="http://schemas.openxmlformats.org/drawingml/2006/picture">
            <wp:extent cx="5486400" cy="3620779"/>
            <wp:docPr id="2" name="Picture 2"/>
            <wp:cNvGraphicFramePr>
              <a:graphicFrameLocks noChangeAspect="1"/>
            </wp:cNvGraphicFramePr>
            <a:graphic>
              <a:graphicData uri="http://schemas.openxmlformats.org/drawingml/2006/picture">
                <pic:pic>
                  <pic:nvPicPr>
                    <pic:cNvPr id="0" name="forest_C.png"/>
                    <pic:cNvPicPr/>
                  </pic:nvPicPr>
                  <pic:blipFill>
                    <a:blip r:embed="rId11"/>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Conscientiousness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3</w:t>
      </w:r>
    </w:p>
    <w:p>
      <w:pPr>
        <w:spacing w:line="480" w:lineRule="auto" w:before="0" w:after="0"/>
      </w:pPr>
      <w:r>
        <w:rPr>
          <w:rFonts w:ascii="Times New Roman" w:hAnsi="Times New Roman"/>
          <w:i/>
          <w:sz w:val="24"/>
        </w:rPr>
        <w:t>Forest Plot: Agreeableness and Academic Achievement in Online Learning Environments</w:t>
      </w:r>
    </w:p>
    <w:p>
      <w:pPr>
        <w:jc w:val="center"/>
      </w:pPr>
      <w:r>
        <w:drawing>
          <wp:inline xmlns:a="http://schemas.openxmlformats.org/drawingml/2006/main" xmlns:pic="http://schemas.openxmlformats.org/drawingml/2006/picture">
            <wp:extent cx="5486400" cy="3403941"/>
            <wp:docPr id="3" name="Picture 3"/>
            <wp:cNvGraphicFramePr>
              <a:graphicFrameLocks noChangeAspect="1"/>
            </wp:cNvGraphicFramePr>
            <a:graphic>
              <a:graphicData uri="http://schemas.openxmlformats.org/drawingml/2006/picture">
                <pic:pic>
                  <pic:nvPicPr>
                    <pic:cNvPr id="0" name="forest_A.png"/>
                    <pic:cNvPicPr/>
                  </pic:nvPicPr>
                  <pic:blipFill>
                    <a:blip r:embed="rId12"/>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Agreeableness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4</w:t>
      </w:r>
    </w:p>
    <w:p>
      <w:pPr>
        <w:spacing w:line="480" w:lineRule="auto" w:before="0" w:after="0"/>
      </w:pPr>
      <w:r>
        <w:rPr>
          <w:rFonts w:ascii="Times New Roman" w:hAnsi="Times New Roman"/>
          <w:i/>
          <w:sz w:val="24"/>
        </w:rPr>
        <w:t>Forest Plot: Openness and Academic Achievement in Online Learning Environments</w:t>
      </w:r>
    </w:p>
    <w:p>
      <w:pPr>
        <w:jc w:val="center"/>
      </w:pPr>
      <w:r>
        <w:drawing>
          <wp:inline xmlns:a="http://schemas.openxmlformats.org/drawingml/2006/main" xmlns:pic="http://schemas.openxmlformats.org/drawingml/2006/picture">
            <wp:extent cx="5486400" cy="3403941"/>
            <wp:docPr id="4" name="Picture 4"/>
            <wp:cNvGraphicFramePr>
              <a:graphicFrameLocks noChangeAspect="1"/>
            </wp:cNvGraphicFramePr>
            <a:graphic>
              <a:graphicData uri="http://schemas.openxmlformats.org/drawingml/2006/picture">
                <pic:pic>
                  <pic:nvPicPr>
                    <pic:cNvPr id="0" name="forest_O.png"/>
                    <pic:cNvPicPr/>
                  </pic:nvPicPr>
                  <pic:blipFill>
                    <a:blip r:embed="rId13"/>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Openness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5</w:t>
      </w:r>
    </w:p>
    <w:p>
      <w:pPr>
        <w:spacing w:line="480" w:lineRule="auto" w:before="0" w:after="0"/>
      </w:pPr>
      <w:r>
        <w:rPr>
          <w:rFonts w:ascii="Times New Roman" w:hAnsi="Times New Roman"/>
          <w:i/>
          <w:sz w:val="24"/>
        </w:rPr>
        <w:t>Forest Plot: Neuroticism and Academic Achievement in Online Learning Environments</w:t>
      </w:r>
    </w:p>
    <w:p>
      <w:pPr>
        <w:jc w:val="center"/>
      </w:pPr>
      <w:r>
        <w:drawing>
          <wp:inline xmlns:a="http://schemas.openxmlformats.org/drawingml/2006/main" xmlns:pic="http://schemas.openxmlformats.org/drawingml/2006/picture">
            <wp:extent cx="5486400" cy="3620779"/>
            <wp:docPr id="5" name="Picture 5"/>
            <wp:cNvGraphicFramePr>
              <a:graphicFrameLocks noChangeAspect="1"/>
            </wp:cNvGraphicFramePr>
            <a:graphic>
              <a:graphicData uri="http://schemas.openxmlformats.org/drawingml/2006/picture">
                <pic:pic>
                  <pic:nvPicPr>
                    <pic:cNvPr id="0" name="forest_N.png"/>
                    <pic:cNvPicPr/>
                  </pic:nvPicPr>
                  <pic:blipFill>
                    <a:blip r:embed="rId14"/>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Neuroticism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6</w:t>
      </w:r>
    </w:p>
    <w:p>
      <w:pPr>
        <w:spacing w:line="480" w:lineRule="auto" w:before="0" w:after="0"/>
      </w:pPr>
      <w:r>
        <w:rPr>
          <w:rFonts w:ascii="Times New Roman" w:hAnsi="Times New Roman"/>
          <w:i/>
          <w:sz w:val="24"/>
        </w:rPr>
        <w:t>Forest Plot: Extraversion and Academic Achievement in Online Learning Environments</w:t>
      </w:r>
    </w:p>
    <w:p>
      <w:pPr>
        <w:jc w:val="center"/>
      </w:pPr>
      <w:r>
        <w:drawing>
          <wp:inline xmlns:a="http://schemas.openxmlformats.org/drawingml/2006/main" xmlns:pic="http://schemas.openxmlformats.org/drawingml/2006/picture">
            <wp:extent cx="5486400" cy="3403941"/>
            <wp:docPr id="6" name="Picture 6"/>
            <wp:cNvGraphicFramePr>
              <a:graphicFrameLocks noChangeAspect="1"/>
            </wp:cNvGraphicFramePr>
            <a:graphic>
              <a:graphicData uri="http://schemas.openxmlformats.org/drawingml/2006/picture">
                <pic:pic>
                  <pic:nvPicPr>
                    <pic:cNvPr id="0" name="forest_E.png"/>
                    <pic:cNvPicPr/>
                  </pic:nvPicPr>
                  <pic:blipFill>
                    <a:blip r:embed="rId15"/>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Extraversion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7</w:t>
      </w:r>
    </w:p>
    <w:p>
      <w:pPr>
        <w:spacing w:line="480" w:lineRule="auto" w:before="0" w:after="0"/>
      </w:pPr>
      <w:r>
        <w:rPr>
          <w:rFonts w:ascii="Times New Roman" w:hAnsi="Times New Roman"/>
          <w:i/>
          <w:sz w:val="24"/>
        </w:rPr>
        <w:t>Funnel Plot: Conscientiousness and Academic Achievement in Online Learning Environments</w:t>
      </w:r>
    </w:p>
    <w:p>
      <w:pPr>
        <w:jc w:val="center"/>
      </w:pPr>
      <w:r>
        <w:drawing>
          <wp:inline xmlns:a="http://schemas.openxmlformats.org/drawingml/2006/main" xmlns:pic="http://schemas.openxmlformats.org/drawingml/2006/picture">
            <wp:extent cx="4572000" cy="3909391"/>
            <wp:docPr id="7" name="Picture 7"/>
            <wp:cNvGraphicFramePr>
              <a:graphicFrameLocks noChangeAspect="1"/>
            </wp:cNvGraphicFramePr>
            <a:graphic>
              <a:graphicData uri="http://schemas.openxmlformats.org/drawingml/2006/picture">
                <pic:pic>
                  <pic:nvPicPr>
                    <pic:cNvPr id="0" name="funnel_C.png"/>
                    <pic:cNvPicPr/>
                  </pic:nvPicPr>
                  <pic:blipFill>
                    <a:blip r:embed="rId16"/>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Conscientiousness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2.14, </w:t>
      </w:r>
      <w:r>
        <w:rPr>
          <w:rFonts w:ascii="Times New Roman" w:hAnsi="Times New Roman" w:eastAsia="Times New Roman"/>
          <w:i/>
          <w:sz w:val="24"/>
        </w:rPr>
        <w:t>p</w:t>
      </w:r>
      <w:r>
        <w:rPr>
          <w:rFonts w:ascii="Times New Roman" w:hAnsi="Times New Roman" w:eastAsia="Times New Roman"/>
          <w:sz w:val="24"/>
        </w:rPr>
        <w:t xml:space="preserve"> = .094. See Table 4 for full publication-bias assessment.</w:t>
      </w:r>
    </w:p>
    <w:p>
      <w:r>
        <w:br w:type="page"/>
      </w:r>
    </w:p>
    <w:p>
      <w:pPr>
        <w:spacing w:line="480" w:lineRule="auto" w:before="0" w:after="0"/>
      </w:pPr>
      <w:r>
        <w:rPr>
          <w:rFonts w:ascii="Times New Roman" w:hAnsi="Times New Roman"/>
          <w:b/>
          <w:sz w:val="24"/>
        </w:rPr>
        <w:t>Figure 8</w:t>
      </w:r>
    </w:p>
    <w:p>
      <w:pPr>
        <w:spacing w:line="480" w:lineRule="auto" w:before="0" w:after="0"/>
      </w:pPr>
      <w:r>
        <w:rPr>
          <w:rFonts w:ascii="Times New Roman" w:hAnsi="Times New Roman"/>
          <w:i/>
          <w:sz w:val="24"/>
        </w:rPr>
        <w:t>Funnel Plot: Agreeableness and Academic Achievement in Online Learning Environments</w:t>
      </w:r>
    </w:p>
    <w:p>
      <w:pPr>
        <w:jc w:val="center"/>
      </w:pPr>
      <w:r>
        <w:drawing>
          <wp:inline xmlns:a="http://schemas.openxmlformats.org/drawingml/2006/main" xmlns:pic="http://schemas.openxmlformats.org/drawingml/2006/picture">
            <wp:extent cx="4572000" cy="3909391"/>
            <wp:docPr id="8" name="Picture 8"/>
            <wp:cNvGraphicFramePr>
              <a:graphicFrameLocks noChangeAspect="1"/>
            </wp:cNvGraphicFramePr>
            <a:graphic>
              <a:graphicData uri="http://schemas.openxmlformats.org/drawingml/2006/picture">
                <pic:pic>
                  <pic:nvPicPr>
                    <pic:cNvPr id="0" name="funnel_A.png"/>
                    <pic:cNvPicPr/>
                  </pic:nvPicPr>
                  <pic:blipFill>
                    <a:blip r:embed="rId17"/>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Agreeableness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−8.53, </w:t>
      </w:r>
      <w:r>
        <w:rPr>
          <w:rFonts w:ascii="Times New Roman" w:hAnsi="Times New Roman" w:eastAsia="Times New Roman"/>
          <w:i/>
          <w:sz w:val="24"/>
        </w:rPr>
        <w:t>p</w:t>
      </w:r>
      <w:r>
        <w:rPr>
          <w:rFonts w:ascii="Times New Roman" w:hAnsi="Times New Roman" w:eastAsia="Times New Roman"/>
          <w:sz w:val="24"/>
        </w:rPr>
        <w:t xml:space="preserve"> = .072. See Table 4 for full publication-bias assessment.</w:t>
      </w:r>
    </w:p>
    <w:p>
      <w:r>
        <w:br w:type="page"/>
      </w:r>
    </w:p>
    <w:p>
      <w:pPr>
        <w:spacing w:line="480" w:lineRule="auto" w:before="0" w:after="0"/>
      </w:pPr>
      <w:r>
        <w:rPr>
          <w:rFonts w:ascii="Times New Roman" w:hAnsi="Times New Roman"/>
          <w:b/>
          <w:sz w:val="24"/>
        </w:rPr>
        <w:t>Figure 9</w:t>
      </w:r>
    </w:p>
    <w:p>
      <w:pPr>
        <w:spacing w:line="480" w:lineRule="auto" w:before="0" w:after="0"/>
      </w:pPr>
      <w:r>
        <w:rPr>
          <w:rFonts w:ascii="Times New Roman" w:hAnsi="Times New Roman"/>
          <w:i/>
          <w:sz w:val="24"/>
        </w:rPr>
        <w:t>Funnel Plot: Openness and Academic Achievement in Online Learning Environments</w:t>
      </w:r>
    </w:p>
    <w:p>
      <w:pPr>
        <w:jc w:val="center"/>
      </w:pPr>
      <w:r>
        <w:drawing>
          <wp:inline xmlns:a="http://schemas.openxmlformats.org/drawingml/2006/main" xmlns:pic="http://schemas.openxmlformats.org/drawingml/2006/picture">
            <wp:extent cx="4572000" cy="3909391"/>
            <wp:docPr id="9" name="Picture 9"/>
            <wp:cNvGraphicFramePr>
              <a:graphicFrameLocks noChangeAspect="1"/>
            </wp:cNvGraphicFramePr>
            <a:graphic>
              <a:graphicData uri="http://schemas.openxmlformats.org/drawingml/2006/picture">
                <pic:pic>
                  <pic:nvPicPr>
                    <pic:cNvPr id="0" name="funnel_O.png"/>
                    <pic:cNvPicPr/>
                  </pic:nvPicPr>
                  <pic:blipFill>
                    <a:blip r:embed="rId18"/>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Openness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−6.41, </w:t>
      </w:r>
      <w:r>
        <w:rPr>
          <w:rFonts w:ascii="Times New Roman" w:hAnsi="Times New Roman" w:eastAsia="Times New Roman"/>
          <w:i/>
          <w:sz w:val="24"/>
        </w:rPr>
        <w:t>p</w:t>
      </w:r>
      <w:r>
        <w:rPr>
          <w:rFonts w:ascii="Times New Roman" w:hAnsi="Times New Roman" w:eastAsia="Times New Roman"/>
          <w:sz w:val="24"/>
        </w:rPr>
        <w:t xml:space="preserve"> = .045. See Table 4 for full publication-bias assessment.</w:t>
      </w:r>
    </w:p>
    <w:p>
      <w:r>
        <w:br w:type="page"/>
      </w:r>
    </w:p>
    <w:p>
      <w:pPr>
        <w:spacing w:line="480" w:lineRule="auto" w:before="0" w:after="0"/>
      </w:pPr>
      <w:r>
        <w:rPr>
          <w:rFonts w:ascii="Times New Roman" w:hAnsi="Times New Roman"/>
          <w:b/>
          <w:sz w:val="24"/>
        </w:rPr>
        <w:t>Figure 10</w:t>
      </w:r>
    </w:p>
    <w:p>
      <w:pPr>
        <w:spacing w:line="480" w:lineRule="auto" w:before="0" w:after="0"/>
      </w:pPr>
      <w:r>
        <w:rPr>
          <w:rFonts w:ascii="Times New Roman" w:hAnsi="Times New Roman"/>
          <w:i/>
          <w:sz w:val="24"/>
        </w:rPr>
        <w:t>Funnel Plot: Neuroticism and Academic Achievement in Online Learning Environments</w:t>
      </w:r>
    </w:p>
    <w:p>
      <w:pPr>
        <w:jc w:val="center"/>
      </w:pPr>
      <w:r>
        <w:drawing>
          <wp:inline xmlns:a="http://schemas.openxmlformats.org/drawingml/2006/main" xmlns:pic="http://schemas.openxmlformats.org/drawingml/2006/picture">
            <wp:extent cx="4572000" cy="3909391"/>
            <wp:docPr id="10" name="Picture 10"/>
            <wp:cNvGraphicFramePr>
              <a:graphicFrameLocks noChangeAspect="1"/>
            </wp:cNvGraphicFramePr>
            <a:graphic>
              <a:graphicData uri="http://schemas.openxmlformats.org/drawingml/2006/picture">
                <pic:pic>
                  <pic:nvPicPr>
                    <pic:cNvPr id="0" name="funnel_N.png"/>
                    <pic:cNvPicPr/>
                  </pic:nvPicPr>
                  <pic:blipFill>
                    <a:blip r:embed="rId19"/>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Neuroticism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−1.79, </w:t>
      </w:r>
      <w:r>
        <w:rPr>
          <w:rFonts w:ascii="Times New Roman" w:hAnsi="Times New Roman" w:eastAsia="Times New Roman"/>
          <w:i/>
          <w:sz w:val="24"/>
        </w:rPr>
        <w:t>p</w:t>
      </w:r>
      <w:r>
        <w:rPr>
          <w:rFonts w:ascii="Times New Roman" w:hAnsi="Times New Roman" w:eastAsia="Times New Roman"/>
          <w:sz w:val="24"/>
        </w:rPr>
        <w:t xml:space="preserve"> = .304. See Table 4 for full publication-bias assessment.</w:t>
      </w:r>
    </w:p>
    <w:p>
      <w:r>
        <w:br w:type="page"/>
      </w:r>
    </w:p>
    <w:p>
      <w:pPr>
        <w:spacing w:line="480" w:lineRule="auto" w:before="0" w:after="0"/>
      </w:pPr>
      <w:r>
        <w:rPr>
          <w:rFonts w:ascii="Times New Roman" w:hAnsi="Times New Roman"/>
          <w:b/>
          <w:sz w:val="24"/>
        </w:rPr>
        <w:t>Figure 11</w:t>
      </w:r>
    </w:p>
    <w:p>
      <w:pPr>
        <w:spacing w:line="480" w:lineRule="auto" w:before="0" w:after="0"/>
      </w:pPr>
      <w:r>
        <w:rPr>
          <w:rFonts w:ascii="Times New Roman" w:hAnsi="Times New Roman"/>
          <w:i/>
          <w:sz w:val="24"/>
        </w:rPr>
        <w:t>Funnel Plot: Extraversion and Academic Achievement in Online Learning Environments</w:t>
      </w:r>
    </w:p>
    <w:p>
      <w:pPr>
        <w:jc w:val="center"/>
      </w:pPr>
      <w:r>
        <w:drawing>
          <wp:inline xmlns:a="http://schemas.openxmlformats.org/drawingml/2006/main" xmlns:pic="http://schemas.openxmlformats.org/drawingml/2006/picture">
            <wp:extent cx="4572000" cy="3909391"/>
            <wp:docPr id="11" name="Picture 11"/>
            <wp:cNvGraphicFramePr>
              <a:graphicFrameLocks noChangeAspect="1"/>
            </wp:cNvGraphicFramePr>
            <a:graphic>
              <a:graphicData uri="http://schemas.openxmlformats.org/drawingml/2006/picture">
                <pic:pic>
                  <pic:nvPicPr>
                    <pic:cNvPr id="0" name="funnel_E.png"/>
                    <pic:cNvPicPr/>
                  </pic:nvPicPr>
                  <pic:blipFill>
                    <a:blip r:embed="rId20"/>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Extraversion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2.29, </w:t>
      </w:r>
      <w:r>
        <w:rPr>
          <w:rFonts w:ascii="Times New Roman" w:hAnsi="Times New Roman" w:eastAsia="Times New Roman"/>
          <w:i/>
          <w:sz w:val="24"/>
        </w:rPr>
        <w:t>p</w:t>
      </w:r>
      <w:r>
        <w:rPr>
          <w:rFonts w:ascii="Times New Roman" w:hAnsi="Times New Roman" w:eastAsia="Times New Roman"/>
          <w:sz w:val="24"/>
        </w:rPr>
        <w:t xml:space="preserve"> = .255. See Table 4 for full publication-bias assessment.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