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Calibri" w:hAnsi="Calibri" w:eastAsia="Calibri"/>
          <w:b/>
          <w:sz w:val="32"/>
        </w:rPr>
        <w:t>PRISMA 2020 Checklist</w:t>
      </w:r>
    </w:p>
    <w:p>
      <w:pPr>
        <w:spacing w:after="80"/>
        <w:jc w:val="center"/>
      </w:pPr>
      <w:r>
        <w:rPr>
          <w:rFonts w:ascii="Calibri" w:hAnsi="Calibri" w:eastAsia="Calibri"/>
          <w:b w:val="0"/>
          <w:sz w:val="22"/>
        </w:rPr>
        <w:t>Big Five Personality Traits and Academic Achievement in Online Learning Environments: A Systematic Review and Meta-Analysis</w:t>
      </w:r>
    </w:p>
    <w:p>
      <w:pPr>
        <w:spacing w:after="200"/>
        <w:jc w:val="center"/>
      </w:pPr>
      <w:r>
        <w:rPr>
          <w:rFonts w:ascii="Calibri" w:hAnsi="Calibri" w:eastAsia="Calibri"/>
          <w:b w:val="0"/>
          <w:sz w:val="18"/>
        </w:rPr>
        <w:t>Adapted from Page, M. J., McKenzie, J. E., Bossuyt, P. M., Boutron, I., Hoffmann, T. C., Mulrow, C. D., et al. (2021). The PRISMA 2020 statement: an updated guideline for reporting systematic reviews. BMJ, 372, n71. doi: 10.1136/bmj.n71. Companion PRISMA 2020 Abstract checklist content is integrated into the structured Abstract of the manuscript.</w:t>
      </w:r>
    </w:p>
    <w:tbl>
      <w:tblPr>
        <w:tblW w:type="auto" w:w="0"/>
        <w:tblLayout w:type="fixed"/>
        <w:tblLook w:firstColumn="1" w:firstRow="1" w:lastColumn="0" w:lastRow="0" w:noHBand="0" w:noVBand="1" w:val="04A0"/>
      </w:tblPr>
      <w:tblGrid>
        <w:gridCol w:w="3450"/>
        <w:gridCol w:w="3450"/>
        <w:gridCol w:w="3450"/>
        <w:gridCol w:w="3450"/>
      </w:tblGrid>
      <w:tr>
        <w:tc>
          <w:tcPr>
            <w:tcW w:type="dxa" w:w="2268"/>
            <w:vAlign w:val="center"/>
            <w:shd w:val="clear" w:color="auto" w:fill="D9D9D9"/>
            <w:tcBorders>
              <w:top w:val="single" w:sz="4" w:color="808080"/>
              <w:left w:val="single" w:sz="4" w:color="808080"/>
              <w:bottom w:val="single" w:sz="4" w:color="808080"/>
              <w:right w:val="single" w:sz="4" w:color="808080"/>
            </w:tcBorders>
          </w:tcPr>
          <w:p>
            <w:pPr>
              <w:jc w:val="left"/>
            </w:pPr>
            <w:r/>
            <w:r>
              <w:rPr>
                <w:rFonts w:ascii="Calibri" w:hAnsi="Calibri" w:eastAsia="Calibri"/>
                <w:b/>
                <w:sz w:val="20"/>
              </w:rPr>
              <w:t>Section / Topic</w:t>
            </w:r>
          </w:p>
        </w:tc>
        <w:tc>
          <w:tcPr>
            <w:tcW w:type="dxa" w:w="794"/>
            <w:vAlign w:val="center"/>
            <w:shd w:val="clear" w:color="auto" w:fill="D9D9D9"/>
            <w:tcBorders>
              <w:top w:val="single" w:sz="4" w:color="808080"/>
              <w:left w:val="single" w:sz="4" w:color="808080"/>
              <w:bottom w:val="single" w:sz="4" w:color="808080"/>
              <w:right w:val="single" w:sz="4" w:color="808080"/>
            </w:tcBorders>
          </w:tcPr>
          <w:p>
            <w:pPr>
              <w:jc w:val="left"/>
            </w:pPr>
            <w:r/>
            <w:r>
              <w:rPr>
                <w:rFonts w:ascii="Calibri" w:hAnsi="Calibri" w:eastAsia="Calibri"/>
                <w:b/>
                <w:sz w:val="20"/>
              </w:rPr>
              <w:t>#</w:t>
            </w:r>
          </w:p>
        </w:tc>
        <w:tc>
          <w:tcPr>
            <w:tcW w:type="dxa" w:w="5102"/>
            <w:vAlign w:val="center"/>
            <w:shd w:val="clear" w:color="auto" w:fill="D9D9D9"/>
            <w:tcBorders>
              <w:top w:val="single" w:sz="4" w:color="808080"/>
              <w:left w:val="single" w:sz="4" w:color="808080"/>
              <w:bottom w:val="single" w:sz="4" w:color="808080"/>
              <w:right w:val="single" w:sz="4" w:color="808080"/>
            </w:tcBorders>
          </w:tcPr>
          <w:p>
            <w:pPr>
              <w:jc w:val="left"/>
            </w:pPr>
            <w:r/>
            <w:r>
              <w:rPr>
                <w:rFonts w:ascii="Calibri" w:hAnsi="Calibri" w:eastAsia="Calibri"/>
                <w:b/>
                <w:sz w:val="20"/>
              </w:rPr>
              <w:t>Checklist item</w:t>
            </w:r>
          </w:p>
        </w:tc>
        <w:tc>
          <w:tcPr>
            <w:tcW w:type="dxa" w:w="6236"/>
            <w:vAlign w:val="center"/>
            <w:shd w:val="clear" w:color="auto" w:fill="D9D9D9"/>
            <w:tcBorders>
              <w:top w:val="single" w:sz="4" w:color="808080"/>
              <w:left w:val="single" w:sz="4" w:color="808080"/>
              <w:bottom w:val="single" w:sz="4" w:color="808080"/>
              <w:right w:val="single" w:sz="4" w:color="808080"/>
            </w:tcBorders>
          </w:tcPr>
          <w:p>
            <w:pPr>
              <w:jc w:val="left"/>
            </w:pPr>
            <w:r/>
            <w:r>
              <w:rPr>
                <w:rFonts w:ascii="Calibri" w:hAnsi="Calibri" w:eastAsia="Calibri"/>
                <w:b/>
                <w:sz w:val="20"/>
              </w:rPr>
              <w:t>Location where item is reported</w:t>
            </w:r>
          </w:p>
        </w:tc>
      </w:tr>
      <w:tr>
        <w:tc>
          <w:tcPr>
            <w:tcW w:type="dxa" w:w="14400"/>
            <w:gridSpan w:val="4"/>
            <w:tcBorders>
              <w:top w:val="single" w:sz="4" w:color="808080"/>
              <w:left w:val="single" w:sz="4" w:color="808080"/>
              <w:bottom w:val="single" w:sz="4" w:color="808080"/>
              <w:right w:val="single" w:sz="4" w:color="808080"/>
            </w:tcBorders>
            <w:shd w:val="clear" w:color="auto" w:fill="F2F2F2"/>
          </w:tcPr>
          <w:p>
            <w:r/>
            <w:r>
              <w:rPr>
                <w:rFonts w:ascii="Calibri" w:hAnsi="Calibri" w:eastAsia="Calibri"/>
                <w:b/>
                <w:sz w:val="20"/>
              </w:rPr>
              <w:t>TITLE</w:t>
            </w:r>
          </w:p>
        </w:tc>
      </w:tr>
      <w:tr>
        <w:tc>
          <w:tcPr>
            <w:tcW w:type="dxa" w:w="2268"/>
            <w:tcBorders>
              <w:top w:val="single" w:sz="4" w:color="808080"/>
              <w:left w:val="single" w:sz="4" w:color="808080"/>
              <w:bottom w:val="single" w:sz="4" w:color="808080"/>
              <w:right w:val="single" w:sz="4" w:color="808080"/>
            </w:tcBorders>
            <w:vAlign w:val="top"/>
          </w:tcPr>
          <w:p>
            <w:r>
              <w:rPr>
                <w:rFonts w:ascii="Calibri" w:hAnsi="Calibri" w:eastAsia="Calibri"/>
                <w:b w:val="0"/>
                <w:sz w:val="18"/>
              </w:rPr>
              <w:t>Title</w:t>
            </w:r>
          </w:p>
        </w:tc>
        <w:tc>
          <w:tcPr>
            <w:tcW w:type="dxa" w:w="794"/>
            <w:tcBorders>
              <w:top w:val="single" w:sz="4" w:color="808080"/>
              <w:left w:val="single" w:sz="4" w:color="808080"/>
              <w:bottom w:val="single" w:sz="4" w:color="808080"/>
              <w:right w:val="single" w:sz="4" w:color="808080"/>
            </w:tcBorders>
            <w:vAlign w:val="top"/>
          </w:tcPr>
          <w:p>
            <w:pPr>
              <w:jc w:val="center"/>
            </w:pPr>
            <w:r>
              <w:rPr>
                <w:rFonts w:ascii="Calibri" w:hAnsi="Calibri" w:eastAsia="Calibri"/>
                <w:b/>
                <w:sz w:val="18"/>
              </w:rPr>
              <w:t>1</w:t>
            </w:r>
          </w:p>
        </w:tc>
        <w:tc>
          <w:tcPr>
            <w:tcW w:type="dxa" w:w="5102"/>
            <w:tcBorders>
              <w:top w:val="single" w:sz="4" w:color="808080"/>
              <w:left w:val="single" w:sz="4" w:color="808080"/>
              <w:bottom w:val="single" w:sz="4" w:color="808080"/>
              <w:right w:val="single" w:sz="4" w:color="808080"/>
            </w:tcBorders>
            <w:vAlign w:val="top"/>
          </w:tcPr>
          <w:p>
            <w:r>
              <w:rPr>
                <w:rFonts w:ascii="Calibri" w:hAnsi="Calibri" w:eastAsia="Calibri"/>
                <w:b w:val="0"/>
                <w:sz w:val="18"/>
              </w:rPr>
              <w:t>Identify the report as a systematic review.</w:t>
            </w:r>
          </w:p>
        </w:tc>
        <w:tc>
          <w:tcPr>
            <w:tcW w:type="dxa" w:w="6236"/>
            <w:tcBorders>
              <w:top w:val="single" w:sz="4" w:color="808080"/>
              <w:left w:val="single" w:sz="4" w:color="808080"/>
              <w:bottom w:val="single" w:sz="4" w:color="808080"/>
              <w:right w:val="single" w:sz="4" w:color="808080"/>
            </w:tcBorders>
            <w:vAlign w:val="top"/>
          </w:tcPr>
          <w:p>
            <w:r>
              <w:rPr>
                <w:rFonts w:ascii="Calibri" w:hAnsi="Calibri" w:eastAsia="Calibri"/>
                <w:b w:val="0"/>
                <w:sz w:val="18"/>
              </w:rPr>
              <w:t>Title page — title explicitly identifies the report as “A Systematic Review and Meta-Analysis.”</w:t>
            </w:r>
          </w:p>
        </w:tc>
      </w:tr>
      <w:tr>
        <w:tc>
          <w:tcPr>
            <w:tcW w:type="dxa" w:w="14400"/>
            <w:gridSpan w:val="4"/>
            <w:tcBorders>
              <w:top w:val="single" w:sz="4" w:color="808080"/>
              <w:left w:val="single" w:sz="4" w:color="808080"/>
              <w:bottom w:val="single" w:sz="4" w:color="808080"/>
              <w:right w:val="single" w:sz="4" w:color="808080"/>
            </w:tcBorders>
            <w:shd w:val="clear" w:color="auto" w:fill="F2F2F2"/>
          </w:tcPr>
          <w:p>
            <w:r/>
            <w:r>
              <w:rPr>
                <w:rFonts w:ascii="Calibri" w:hAnsi="Calibri" w:eastAsia="Calibri"/>
                <w:b/>
                <w:sz w:val="20"/>
              </w:rPr>
              <w:t>ABSTRACT</w:t>
            </w:r>
          </w:p>
        </w:tc>
      </w:tr>
      <w:tr>
        <w:tc>
          <w:tcPr>
            <w:tcW w:type="dxa" w:w="2268"/>
            <w:tcBorders>
              <w:top w:val="single" w:sz="4" w:color="808080"/>
              <w:left w:val="single" w:sz="4" w:color="808080"/>
              <w:bottom w:val="single" w:sz="4" w:color="808080"/>
              <w:right w:val="single" w:sz="4" w:color="808080"/>
            </w:tcBorders>
            <w:vAlign w:val="top"/>
          </w:tcPr>
          <w:p>
            <w:r>
              <w:rPr>
                <w:rFonts w:ascii="Calibri" w:hAnsi="Calibri" w:eastAsia="Calibri"/>
                <w:b w:val="0"/>
                <w:sz w:val="18"/>
              </w:rPr>
              <w:t>Abstract</w:t>
            </w:r>
          </w:p>
        </w:tc>
        <w:tc>
          <w:tcPr>
            <w:tcW w:type="dxa" w:w="794"/>
            <w:tcBorders>
              <w:top w:val="single" w:sz="4" w:color="808080"/>
              <w:left w:val="single" w:sz="4" w:color="808080"/>
              <w:bottom w:val="single" w:sz="4" w:color="808080"/>
              <w:right w:val="single" w:sz="4" w:color="808080"/>
            </w:tcBorders>
            <w:vAlign w:val="top"/>
          </w:tcPr>
          <w:p>
            <w:pPr>
              <w:jc w:val="center"/>
            </w:pPr>
            <w:r>
              <w:rPr>
                <w:rFonts w:ascii="Calibri" w:hAnsi="Calibri" w:eastAsia="Calibri"/>
                <w:b/>
                <w:sz w:val="18"/>
              </w:rPr>
              <w:t>2</w:t>
            </w:r>
          </w:p>
        </w:tc>
        <w:tc>
          <w:tcPr>
            <w:tcW w:type="dxa" w:w="5102"/>
            <w:tcBorders>
              <w:top w:val="single" w:sz="4" w:color="808080"/>
              <w:left w:val="single" w:sz="4" w:color="808080"/>
              <w:bottom w:val="single" w:sz="4" w:color="808080"/>
              <w:right w:val="single" w:sz="4" w:color="808080"/>
            </w:tcBorders>
            <w:vAlign w:val="top"/>
          </w:tcPr>
          <w:p>
            <w:r>
              <w:rPr>
                <w:rFonts w:ascii="Calibri" w:hAnsi="Calibri" w:eastAsia="Calibri"/>
                <w:b w:val="0"/>
                <w:sz w:val="18"/>
              </w:rPr>
              <w:t>See the PRISMA 2020 for Abstracts checklist.</w:t>
            </w:r>
          </w:p>
        </w:tc>
        <w:tc>
          <w:tcPr>
            <w:tcW w:type="dxa" w:w="6236"/>
            <w:tcBorders>
              <w:top w:val="single" w:sz="4" w:color="808080"/>
              <w:left w:val="single" w:sz="4" w:color="808080"/>
              <w:bottom w:val="single" w:sz="4" w:color="808080"/>
              <w:right w:val="single" w:sz="4" w:color="808080"/>
            </w:tcBorders>
            <w:vAlign w:val="top"/>
          </w:tcPr>
          <w:p>
            <w:r>
              <w:rPr>
                <w:rFonts w:ascii="Calibri" w:hAnsi="Calibri" w:eastAsia="Calibri"/>
                <w:b w:val="0"/>
                <w:sz w:val="18"/>
              </w:rPr>
              <w:t>Abstract section — structured abstract reports background, methods (PRISMA 2020 compliance, REML/HKSJ random-effects synthesis, JBI risk of bias, GRADE), results (k = 25 qualitative / 10 quantitative; pooled N = 3,384; trait-by-trait pooled r and 95% CI; two pre-registered moderator effects), and conclusions. Pre-registration DOI is referenced in the Author Note and Declarations.</w:t>
            </w:r>
          </w:p>
        </w:tc>
      </w:tr>
      <w:tr>
        <w:tc>
          <w:tcPr>
            <w:tcW w:type="dxa" w:w="14400"/>
            <w:gridSpan w:val="4"/>
            <w:tcBorders>
              <w:top w:val="single" w:sz="4" w:color="808080"/>
              <w:left w:val="single" w:sz="4" w:color="808080"/>
              <w:bottom w:val="single" w:sz="4" w:color="808080"/>
              <w:right w:val="single" w:sz="4" w:color="808080"/>
            </w:tcBorders>
            <w:shd w:val="clear" w:color="auto" w:fill="F2F2F2"/>
          </w:tcPr>
          <w:p>
            <w:r/>
            <w:r>
              <w:rPr>
                <w:rFonts w:ascii="Calibri" w:hAnsi="Calibri" w:eastAsia="Calibri"/>
                <w:b/>
                <w:sz w:val="20"/>
              </w:rPr>
              <w:t>INTRODUCTION</w:t>
            </w:r>
          </w:p>
        </w:tc>
      </w:tr>
      <w:tr>
        <w:tc>
          <w:tcPr>
            <w:tcW w:type="dxa" w:w="2268"/>
            <w:tcBorders>
              <w:top w:val="single" w:sz="4" w:color="808080"/>
              <w:left w:val="single" w:sz="4" w:color="808080"/>
              <w:bottom w:val="single" w:sz="4" w:color="808080"/>
              <w:right w:val="single" w:sz="4" w:color="808080"/>
            </w:tcBorders>
            <w:vAlign w:val="top"/>
          </w:tcPr>
          <w:p>
            <w:r>
              <w:rPr>
                <w:rFonts w:ascii="Calibri" w:hAnsi="Calibri" w:eastAsia="Calibri"/>
                <w:b w:val="0"/>
                <w:sz w:val="18"/>
              </w:rPr>
              <w:t>Rationale</w:t>
            </w:r>
          </w:p>
        </w:tc>
        <w:tc>
          <w:tcPr>
            <w:tcW w:type="dxa" w:w="794"/>
            <w:tcBorders>
              <w:top w:val="single" w:sz="4" w:color="808080"/>
              <w:left w:val="single" w:sz="4" w:color="808080"/>
              <w:bottom w:val="single" w:sz="4" w:color="808080"/>
              <w:right w:val="single" w:sz="4" w:color="808080"/>
            </w:tcBorders>
            <w:vAlign w:val="top"/>
          </w:tcPr>
          <w:p>
            <w:pPr>
              <w:jc w:val="center"/>
            </w:pPr>
            <w:r>
              <w:rPr>
                <w:rFonts w:ascii="Calibri" w:hAnsi="Calibri" w:eastAsia="Calibri"/>
                <w:b/>
                <w:sz w:val="18"/>
              </w:rPr>
              <w:t>3</w:t>
            </w:r>
          </w:p>
        </w:tc>
        <w:tc>
          <w:tcPr>
            <w:tcW w:type="dxa" w:w="5102"/>
            <w:tcBorders>
              <w:top w:val="single" w:sz="4" w:color="808080"/>
              <w:left w:val="single" w:sz="4" w:color="808080"/>
              <w:bottom w:val="single" w:sz="4" w:color="808080"/>
              <w:right w:val="single" w:sz="4" w:color="808080"/>
            </w:tcBorders>
            <w:vAlign w:val="top"/>
          </w:tcPr>
          <w:p>
            <w:r>
              <w:rPr>
                <w:rFonts w:ascii="Calibri" w:hAnsi="Calibri" w:eastAsia="Calibri"/>
                <w:b w:val="0"/>
                <w:sz w:val="18"/>
              </w:rPr>
              <w:t>Describe the rationale for the review in the context of existing knowledge.</w:t>
            </w:r>
          </w:p>
        </w:tc>
        <w:tc>
          <w:tcPr>
            <w:tcW w:type="dxa" w:w="6236"/>
            <w:tcBorders>
              <w:top w:val="single" w:sz="4" w:color="808080"/>
              <w:left w:val="single" w:sz="4" w:color="808080"/>
              <w:bottom w:val="single" w:sz="4" w:color="808080"/>
              <w:right w:val="single" w:sz="4" w:color="808080"/>
            </w:tcBorders>
            <w:vAlign w:val="top"/>
          </w:tcPr>
          <w:p>
            <w:r>
              <w:rPr>
                <w:rFonts w:ascii="Calibri" w:hAnsi="Calibri" w:eastAsia="Calibri"/>
                <w:b w:val="0"/>
                <w:sz w:val="18"/>
              </w:rPr>
              <w:t>Introduction → “Personality and Academic Achievement in Face-to-Face Contexts” and “The Shift to Online Learning Environments” subsections. Eight prior meta-analyses (Poropat 2009 through Chen et al. 2025) are summarized; the absence of an online-modality moderator is the stated gap.</w:t>
            </w:r>
          </w:p>
        </w:tc>
      </w:tr>
      <w:tr>
        <w:tc>
          <w:tcPr>
            <w:tcW w:type="dxa" w:w="2268"/>
            <w:tcBorders>
              <w:top w:val="single" w:sz="4" w:color="808080"/>
              <w:left w:val="single" w:sz="4" w:color="808080"/>
              <w:bottom w:val="single" w:sz="4" w:color="808080"/>
              <w:right w:val="single" w:sz="4" w:color="808080"/>
            </w:tcBorders>
            <w:vAlign w:val="top"/>
          </w:tcPr>
          <w:p>
            <w:r>
              <w:rPr>
                <w:rFonts w:ascii="Calibri" w:hAnsi="Calibri" w:eastAsia="Calibri"/>
                <w:b w:val="0"/>
                <w:sz w:val="18"/>
              </w:rPr>
              <w:t>Objectives</w:t>
            </w:r>
          </w:p>
        </w:tc>
        <w:tc>
          <w:tcPr>
            <w:tcW w:type="dxa" w:w="794"/>
            <w:tcBorders>
              <w:top w:val="single" w:sz="4" w:color="808080"/>
              <w:left w:val="single" w:sz="4" w:color="808080"/>
              <w:bottom w:val="single" w:sz="4" w:color="808080"/>
              <w:right w:val="single" w:sz="4" w:color="808080"/>
            </w:tcBorders>
            <w:vAlign w:val="top"/>
          </w:tcPr>
          <w:p>
            <w:pPr>
              <w:jc w:val="center"/>
            </w:pPr>
            <w:r>
              <w:rPr>
                <w:rFonts w:ascii="Calibri" w:hAnsi="Calibri" w:eastAsia="Calibri"/>
                <w:b/>
                <w:sz w:val="18"/>
              </w:rPr>
              <w:t>4</w:t>
            </w:r>
          </w:p>
        </w:tc>
        <w:tc>
          <w:tcPr>
            <w:tcW w:type="dxa" w:w="5102"/>
            <w:tcBorders>
              <w:top w:val="single" w:sz="4" w:color="808080"/>
              <w:left w:val="single" w:sz="4" w:color="808080"/>
              <w:bottom w:val="single" w:sz="4" w:color="808080"/>
              <w:right w:val="single" w:sz="4" w:color="808080"/>
            </w:tcBorders>
            <w:vAlign w:val="top"/>
          </w:tcPr>
          <w:p>
            <w:r>
              <w:rPr>
                <w:rFonts w:ascii="Calibri" w:hAnsi="Calibri" w:eastAsia="Calibri"/>
                <w:b w:val="0"/>
                <w:sz w:val="18"/>
              </w:rPr>
              <w:t>Provide an explicit statement of the objective(s) or question(s) the review addresses.</w:t>
            </w:r>
          </w:p>
        </w:tc>
        <w:tc>
          <w:tcPr>
            <w:tcW w:type="dxa" w:w="6236"/>
            <w:tcBorders>
              <w:top w:val="single" w:sz="4" w:color="808080"/>
              <w:left w:val="single" w:sz="4" w:color="808080"/>
              <w:bottom w:val="single" w:sz="4" w:color="808080"/>
              <w:right w:val="single" w:sz="4" w:color="808080"/>
            </w:tcBorders>
            <w:vAlign w:val="top"/>
          </w:tcPr>
          <w:p>
            <w:r>
              <w:rPr>
                <w:rFonts w:ascii="Calibri" w:hAnsi="Calibri" w:eastAsia="Calibri"/>
                <w:b w:val="0"/>
                <w:sz w:val="18"/>
              </w:rPr>
              <w:t>Introduction → “The Present Review” subsection — five pre-registered research questions (RQ1–RQ5) and the PICOS framework are stated explicitly.</w:t>
            </w:r>
          </w:p>
        </w:tc>
      </w:tr>
      <w:tr>
        <w:tc>
          <w:tcPr>
            <w:tcW w:type="dxa" w:w="14400"/>
            <w:gridSpan w:val="4"/>
            <w:tcBorders>
              <w:top w:val="single" w:sz="4" w:color="808080"/>
              <w:left w:val="single" w:sz="4" w:color="808080"/>
              <w:bottom w:val="single" w:sz="4" w:color="808080"/>
              <w:right w:val="single" w:sz="4" w:color="808080"/>
            </w:tcBorders>
            <w:shd w:val="clear" w:color="auto" w:fill="F2F2F2"/>
          </w:tcPr>
          <w:p>
            <w:r/>
            <w:r>
              <w:rPr>
                <w:rFonts w:ascii="Calibri" w:hAnsi="Calibri" w:eastAsia="Calibri"/>
                <w:b/>
                <w:sz w:val="20"/>
              </w:rPr>
              <w:t>METHODS</w:t>
            </w:r>
          </w:p>
        </w:tc>
      </w:tr>
      <w:tr>
        <w:tc>
          <w:tcPr>
            <w:tcW w:type="dxa" w:w="2268"/>
            <w:tcBorders>
              <w:top w:val="single" w:sz="4" w:color="808080"/>
              <w:left w:val="single" w:sz="4" w:color="808080"/>
              <w:bottom w:val="single" w:sz="4" w:color="808080"/>
              <w:right w:val="single" w:sz="4" w:color="808080"/>
            </w:tcBorders>
            <w:vAlign w:val="top"/>
          </w:tcPr>
          <w:p>
            <w:r>
              <w:rPr>
                <w:rFonts w:ascii="Calibri" w:hAnsi="Calibri" w:eastAsia="Calibri"/>
                <w:b w:val="0"/>
                <w:sz w:val="18"/>
              </w:rPr>
              <w:t>Eligibility criteria</w:t>
            </w:r>
          </w:p>
        </w:tc>
        <w:tc>
          <w:tcPr>
            <w:tcW w:type="dxa" w:w="794"/>
            <w:tcBorders>
              <w:top w:val="single" w:sz="4" w:color="808080"/>
              <w:left w:val="single" w:sz="4" w:color="808080"/>
              <w:bottom w:val="single" w:sz="4" w:color="808080"/>
              <w:right w:val="single" w:sz="4" w:color="808080"/>
            </w:tcBorders>
            <w:vAlign w:val="top"/>
          </w:tcPr>
          <w:p>
            <w:pPr>
              <w:jc w:val="center"/>
            </w:pPr>
            <w:r>
              <w:rPr>
                <w:rFonts w:ascii="Calibri" w:hAnsi="Calibri" w:eastAsia="Calibri"/>
                <w:b/>
                <w:sz w:val="18"/>
              </w:rPr>
              <w:t>5</w:t>
            </w:r>
          </w:p>
        </w:tc>
        <w:tc>
          <w:tcPr>
            <w:tcW w:type="dxa" w:w="5102"/>
            <w:tcBorders>
              <w:top w:val="single" w:sz="4" w:color="808080"/>
              <w:left w:val="single" w:sz="4" w:color="808080"/>
              <w:bottom w:val="single" w:sz="4" w:color="808080"/>
              <w:right w:val="single" w:sz="4" w:color="808080"/>
            </w:tcBorders>
            <w:vAlign w:val="top"/>
          </w:tcPr>
          <w:p>
            <w:r>
              <w:rPr>
                <w:rFonts w:ascii="Calibri" w:hAnsi="Calibri" w:eastAsia="Calibri"/>
                <w:b w:val="0"/>
                <w:sz w:val="18"/>
              </w:rPr>
              <w:t>Specify the inclusion and exclusion criteria for the review and how studies were grouped for the syntheses.</w:t>
            </w:r>
          </w:p>
        </w:tc>
        <w:tc>
          <w:tcPr>
            <w:tcW w:type="dxa" w:w="6236"/>
            <w:tcBorders>
              <w:top w:val="single" w:sz="4" w:color="808080"/>
              <w:left w:val="single" w:sz="4" w:color="808080"/>
              <w:bottom w:val="single" w:sz="4" w:color="808080"/>
              <w:right w:val="single" w:sz="4" w:color="808080"/>
            </w:tcBorders>
            <w:vAlign w:val="top"/>
          </w:tcPr>
          <w:p>
            <w:r>
              <w:rPr>
                <w:rFonts w:ascii="Calibri" w:hAnsi="Calibri" w:eastAsia="Calibri"/>
                <w:b w:val="0"/>
                <w:sz w:val="18"/>
              </w:rPr>
              <w:t>Methods → “Eligibility Criteria” subsection — full PICOS eligibility rules, including population, exposure (Big Five / HEXACO instruments), comparator, primary and secondary outcomes, study design, and publication-type restrictions. Grouping for synthesis is by Big Five trait.</w:t>
            </w:r>
          </w:p>
        </w:tc>
      </w:tr>
      <w:tr>
        <w:tc>
          <w:tcPr>
            <w:tcW w:type="dxa" w:w="2268"/>
            <w:tcBorders>
              <w:top w:val="single" w:sz="4" w:color="808080"/>
              <w:left w:val="single" w:sz="4" w:color="808080"/>
              <w:bottom w:val="single" w:sz="4" w:color="808080"/>
              <w:right w:val="single" w:sz="4" w:color="808080"/>
            </w:tcBorders>
            <w:vAlign w:val="top"/>
          </w:tcPr>
          <w:p>
            <w:r>
              <w:rPr>
                <w:rFonts w:ascii="Calibri" w:hAnsi="Calibri" w:eastAsia="Calibri"/>
                <w:b w:val="0"/>
                <w:sz w:val="18"/>
              </w:rPr>
              <w:t>Information sources</w:t>
            </w:r>
          </w:p>
        </w:tc>
        <w:tc>
          <w:tcPr>
            <w:tcW w:type="dxa" w:w="794"/>
            <w:tcBorders>
              <w:top w:val="single" w:sz="4" w:color="808080"/>
              <w:left w:val="single" w:sz="4" w:color="808080"/>
              <w:bottom w:val="single" w:sz="4" w:color="808080"/>
              <w:right w:val="single" w:sz="4" w:color="808080"/>
            </w:tcBorders>
            <w:vAlign w:val="top"/>
          </w:tcPr>
          <w:p>
            <w:pPr>
              <w:jc w:val="center"/>
            </w:pPr>
            <w:r>
              <w:rPr>
                <w:rFonts w:ascii="Calibri" w:hAnsi="Calibri" w:eastAsia="Calibri"/>
                <w:b/>
                <w:sz w:val="18"/>
              </w:rPr>
              <w:t>6</w:t>
            </w:r>
          </w:p>
        </w:tc>
        <w:tc>
          <w:tcPr>
            <w:tcW w:type="dxa" w:w="5102"/>
            <w:tcBorders>
              <w:top w:val="single" w:sz="4" w:color="808080"/>
              <w:left w:val="single" w:sz="4" w:color="808080"/>
              <w:bottom w:val="single" w:sz="4" w:color="808080"/>
              <w:right w:val="single" w:sz="4" w:color="808080"/>
            </w:tcBorders>
            <w:vAlign w:val="top"/>
          </w:tcPr>
          <w:p>
            <w:r>
              <w:rPr>
                <w:rFonts w:ascii="Calibri" w:hAnsi="Calibri" w:eastAsia="Calibri"/>
                <w:b w:val="0"/>
                <w:sz w:val="18"/>
              </w:rPr>
              <w:t>Specify all databases, registers, websites, organisations, reference lists and other sources searched or consulted to identify studies. Specify the date when each source was last searched or consulted.</w:t>
            </w:r>
          </w:p>
        </w:tc>
        <w:tc>
          <w:tcPr>
            <w:tcW w:type="dxa" w:w="6236"/>
            <w:tcBorders>
              <w:top w:val="single" w:sz="4" w:color="808080"/>
              <w:left w:val="single" w:sz="4" w:color="808080"/>
              <w:bottom w:val="single" w:sz="4" w:color="808080"/>
              <w:right w:val="single" w:sz="4" w:color="808080"/>
            </w:tcBorders>
            <w:vAlign w:val="top"/>
          </w:tcPr>
          <w:p>
            <w:r>
              <w:rPr>
                <w:rFonts w:ascii="Calibri" w:hAnsi="Calibri" w:eastAsia="Calibri"/>
                <w:b w:val="0"/>
                <w:sz w:val="18"/>
              </w:rPr>
              <w:t>Methods → “Information Sources and Search Strategy” subsection — six pre-registered databases (PubMed/MEDLINE, PsycINFO, ERIC, Web of Science, Scopus, ProQuest), Google Scholar, and forward/backward citation snowballing. The protocol-level access deviation and mitigation are disclosed; full search log with execution dates is deposited at https://doi.org/10.17605/OSF.IO/UVJDY.</w:t>
            </w:r>
          </w:p>
        </w:tc>
      </w:tr>
      <w:tr>
        <w:tc>
          <w:tcPr>
            <w:tcW w:type="dxa" w:w="2268"/>
            <w:tcBorders>
              <w:top w:val="single" w:sz="4" w:color="808080"/>
              <w:left w:val="single" w:sz="4" w:color="808080"/>
              <w:bottom w:val="single" w:sz="4" w:color="808080"/>
              <w:right w:val="single" w:sz="4" w:color="808080"/>
            </w:tcBorders>
            <w:vAlign w:val="top"/>
          </w:tcPr>
          <w:p>
            <w:r>
              <w:rPr>
                <w:rFonts w:ascii="Calibri" w:hAnsi="Calibri" w:eastAsia="Calibri"/>
                <w:b w:val="0"/>
                <w:sz w:val="18"/>
              </w:rPr>
              <w:t>Search strategy</w:t>
            </w:r>
          </w:p>
        </w:tc>
        <w:tc>
          <w:tcPr>
            <w:tcW w:type="dxa" w:w="794"/>
            <w:tcBorders>
              <w:top w:val="single" w:sz="4" w:color="808080"/>
              <w:left w:val="single" w:sz="4" w:color="808080"/>
              <w:bottom w:val="single" w:sz="4" w:color="808080"/>
              <w:right w:val="single" w:sz="4" w:color="808080"/>
            </w:tcBorders>
            <w:vAlign w:val="top"/>
          </w:tcPr>
          <w:p>
            <w:pPr>
              <w:jc w:val="center"/>
            </w:pPr>
            <w:r>
              <w:rPr>
                <w:rFonts w:ascii="Calibri" w:hAnsi="Calibri" w:eastAsia="Calibri"/>
                <w:b/>
                <w:sz w:val="18"/>
              </w:rPr>
              <w:t>7</w:t>
            </w:r>
          </w:p>
        </w:tc>
        <w:tc>
          <w:tcPr>
            <w:tcW w:type="dxa" w:w="5102"/>
            <w:tcBorders>
              <w:top w:val="single" w:sz="4" w:color="808080"/>
              <w:left w:val="single" w:sz="4" w:color="808080"/>
              <w:bottom w:val="single" w:sz="4" w:color="808080"/>
              <w:right w:val="single" w:sz="4" w:color="808080"/>
            </w:tcBorders>
            <w:vAlign w:val="top"/>
          </w:tcPr>
          <w:p>
            <w:r>
              <w:rPr>
                <w:rFonts w:ascii="Calibri" w:hAnsi="Calibri" w:eastAsia="Calibri"/>
                <w:b w:val="0"/>
                <w:sz w:val="18"/>
              </w:rPr>
              <w:t>Present the full search strategies for all databases, registers and websites, including any filters and limits used.</w:t>
            </w:r>
          </w:p>
        </w:tc>
        <w:tc>
          <w:tcPr>
            <w:tcW w:type="dxa" w:w="6236"/>
            <w:tcBorders>
              <w:top w:val="single" w:sz="4" w:color="808080"/>
              <w:left w:val="single" w:sz="4" w:color="808080"/>
              <w:bottom w:val="single" w:sz="4" w:color="808080"/>
              <w:right w:val="single" w:sz="4" w:color="808080"/>
            </w:tcBorders>
            <w:vAlign w:val="top"/>
          </w:tcPr>
          <w:p>
            <w:r>
              <w:rPr>
                <w:rFonts w:ascii="Calibri" w:hAnsi="Calibri" w:eastAsia="Calibri"/>
                <w:b w:val="0"/>
                <w:sz w:val="18"/>
              </w:rPr>
              <w:t>Methods → “Information Sources and Search Strategy” subsection — the three-concept Boolean strategy (personality × online learning × academic outcome) is reproduced in full. The complete query syntax, filters, and per-source hit counts are deposited as search_log.md on OSF (02_search component, https://doi.org/10.17605/OSF.IO/UVJDY).</w:t>
            </w:r>
          </w:p>
        </w:tc>
      </w:tr>
      <w:tr>
        <w:tc>
          <w:tcPr>
            <w:tcW w:type="dxa" w:w="2268"/>
            <w:tcBorders>
              <w:top w:val="single" w:sz="4" w:color="808080"/>
              <w:left w:val="single" w:sz="4" w:color="808080"/>
              <w:bottom w:val="single" w:sz="4" w:color="808080"/>
              <w:right w:val="single" w:sz="4" w:color="808080"/>
            </w:tcBorders>
            <w:vAlign w:val="top"/>
          </w:tcPr>
          <w:p>
            <w:r>
              <w:rPr>
                <w:rFonts w:ascii="Calibri" w:hAnsi="Calibri" w:eastAsia="Calibri"/>
                <w:b w:val="0"/>
                <w:sz w:val="18"/>
              </w:rPr>
              <w:t>Selection process</w:t>
            </w:r>
          </w:p>
        </w:tc>
        <w:tc>
          <w:tcPr>
            <w:tcW w:type="dxa" w:w="794"/>
            <w:tcBorders>
              <w:top w:val="single" w:sz="4" w:color="808080"/>
              <w:left w:val="single" w:sz="4" w:color="808080"/>
              <w:bottom w:val="single" w:sz="4" w:color="808080"/>
              <w:right w:val="single" w:sz="4" w:color="808080"/>
            </w:tcBorders>
            <w:vAlign w:val="top"/>
          </w:tcPr>
          <w:p>
            <w:pPr>
              <w:jc w:val="center"/>
            </w:pPr>
            <w:r>
              <w:rPr>
                <w:rFonts w:ascii="Calibri" w:hAnsi="Calibri" w:eastAsia="Calibri"/>
                <w:b/>
                <w:sz w:val="18"/>
              </w:rPr>
              <w:t>8</w:t>
            </w:r>
          </w:p>
        </w:tc>
        <w:tc>
          <w:tcPr>
            <w:tcW w:type="dxa" w:w="5102"/>
            <w:tcBorders>
              <w:top w:val="single" w:sz="4" w:color="808080"/>
              <w:left w:val="single" w:sz="4" w:color="808080"/>
              <w:bottom w:val="single" w:sz="4" w:color="808080"/>
              <w:right w:val="single" w:sz="4" w:color="808080"/>
            </w:tcBorders>
            <w:vAlign w:val="top"/>
          </w:tcPr>
          <w:p>
            <w:r>
              <w:rPr>
                <w:rFonts w:ascii="Calibri" w:hAnsi="Calibri" w:eastAsia="Calibri"/>
                <w:b w:val="0"/>
                <w:sz w:val="18"/>
              </w:rPr>
              <w:t>Specify the methods used to decide whether a study met the inclusion criteria of the review, including how many reviewers screened each record and each report retrieved, whether they worked independently, and if applicable, details of automation tools used in the process.</w:t>
            </w:r>
          </w:p>
        </w:tc>
        <w:tc>
          <w:tcPr>
            <w:tcW w:type="dxa" w:w="6236"/>
            <w:tcBorders>
              <w:top w:val="single" w:sz="4" w:color="808080"/>
              <w:left w:val="single" w:sz="4" w:color="808080"/>
              <w:bottom w:val="single" w:sz="4" w:color="808080"/>
              <w:right w:val="single" w:sz="4" w:color="808080"/>
            </w:tcBorders>
            <w:vAlign w:val="top"/>
          </w:tcPr>
          <w:p>
            <w:r>
              <w:rPr>
                <w:rFonts w:ascii="Calibri" w:hAnsi="Calibri" w:eastAsia="Calibri"/>
                <w:b w:val="0"/>
                <w:sz w:val="18"/>
              </w:rPr>
              <w:t>Methods → “Study Selection” subsection — single reviewer (ET) under a pre-specified intra-rater reliability protocol with 10% (title/abstract) and 20% (full-text) re-screening after a ≥7-day wash-out, target Cohen's κ ≥ 0.80; Zotero used for de-duplication. The single-reviewer deviation is transparently disclosed.</w:t>
            </w:r>
          </w:p>
        </w:tc>
      </w:tr>
      <w:tr>
        <w:tc>
          <w:tcPr>
            <w:tcW w:type="dxa" w:w="2268"/>
            <w:tcBorders>
              <w:top w:val="single" w:sz="4" w:color="808080"/>
              <w:left w:val="single" w:sz="4" w:color="808080"/>
              <w:bottom w:val="single" w:sz="4" w:color="808080"/>
              <w:right w:val="single" w:sz="4" w:color="808080"/>
            </w:tcBorders>
            <w:vAlign w:val="top"/>
          </w:tcPr>
          <w:p>
            <w:r>
              <w:rPr>
                <w:rFonts w:ascii="Calibri" w:hAnsi="Calibri" w:eastAsia="Calibri"/>
                <w:b w:val="0"/>
                <w:sz w:val="18"/>
              </w:rPr>
              <w:t>Data collection process</w:t>
            </w:r>
          </w:p>
        </w:tc>
        <w:tc>
          <w:tcPr>
            <w:tcW w:type="dxa" w:w="794"/>
            <w:tcBorders>
              <w:top w:val="single" w:sz="4" w:color="808080"/>
              <w:left w:val="single" w:sz="4" w:color="808080"/>
              <w:bottom w:val="single" w:sz="4" w:color="808080"/>
              <w:right w:val="single" w:sz="4" w:color="808080"/>
            </w:tcBorders>
            <w:vAlign w:val="top"/>
          </w:tcPr>
          <w:p>
            <w:pPr>
              <w:jc w:val="center"/>
            </w:pPr>
            <w:r>
              <w:rPr>
                <w:rFonts w:ascii="Calibri" w:hAnsi="Calibri" w:eastAsia="Calibri"/>
                <w:b/>
                <w:sz w:val="18"/>
              </w:rPr>
              <w:t>9</w:t>
            </w:r>
          </w:p>
        </w:tc>
        <w:tc>
          <w:tcPr>
            <w:tcW w:type="dxa" w:w="5102"/>
            <w:tcBorders>
              <w:top w:val="single" w:sz="4" w:color="808080"/>
              <w:left w:val="single" w:sz="4" w:color="808080"/>
              <w:bottom w:val="single" w:sz="4" w:color="808080"/>
              <w:right w:val="single" w:sz="4" w:color="808080"/>
            </w:tcBorders>
            <w:vAlign w:val="top"/>
          </w:tcPr>
          <w:p>
            <w:r>
              <w:rPr>
                <w:rFonts w:ascii="Calibri" w:hAnsi="Calibri" w:eastAsia="Calibri"/>
                <w:b w:val="0"/>
                <w:sz w:val="18"/>
              </w:rPr>
              <w:t>Specify the methods used to collect data from reports, including how many reviewers collected data from each report, whether they worked independently, any processes for obtaining or confirming data from study investigators, and if applicable, details of automation tools used in the process.</w:t>
            </w:r>
          </w:p>
        </w:tc>
        <w:tc>
          <w:tcPr>
            <w:tcW w:type="dxa" w:w="6236"/>
            <w:tcBorders>
              <w:top w:val="single" w:sz="4" w:color="808080"/>
              <w:left w:val="single" w:sz="4" w:color="808080"/>
              <w:bottom w:val="single" w:sz="4" w:color="808080"/>
              <w:right w:val="single" w:sz="4" w:color="808080"/>
            </w:tcBorders>
            <w:vAlign w:val="top"/>
          </w:tcPr>
          <w:p>
            <w:r>
              <w:rPr>
                <w:rFonts w:ascii="Calibri" w:hAnsi="Calibri" w:eastAsia="Calibri"/>
                <w:b w:val="0"/>
                <w:sz w:val="18"/>
              </w:rPr>
              <w:t>Methods → “Data Extraction” subsection — single reviewer extraction with 10% double-extraction and target ICC(2,1) ≥ 0.90 / κ ≥ 0.80. Author-contact protocol (up to two attempts, ≥2-week interval) for missing statistics. No automation tools.</w:t>
            </w:r>
          </w:p>
        </w:tc>
      </w:tr>
      <w:tr>
        <w:tc>
          <w:tcPr>
            <w:tcW w:type="dxa" w:w="2268"/>
            <w:tcBorders>
              <w:top w:val="single" w:sz="4" w:color="808080"/>
              <w:left w:val="single" w:sz="4" w:color="808080"/>
              <w:bottom w:val="single" w:sz="4" w:color="808080"/>
              <w:right w:val="single" w:sz="4" w:color="808080"/>
            </w:tcBorders>
            <w:vAlign w:val="top"/>
          </w:tcPr>
          <w:p>
            <w:r>
              <w:rPr>
                <w:rFonts w:ascii="Calibri" w:hAnsi="Calibri" w:eastAsia="Calibri"/>
                <w:b w:val="0"/>
                <w:sz w:val="18"/>
              </w:rPr>
              <w:t>Data items</w:t>
            </w:r>
          </w:p>
        </w:tc>
        <w:tc>
          <w:tcPr>
            <w:tcW w:type="dxa" w:w="794"/>
            <w:tcBorders>
              <w:top w:val="single" w:sz="4" w:color="808080"/>
              <w:left w:val="single" w:sz="4" w:color="808080"/>
              <w:bottom w:val="single" w:sz="4" w:color="808080"/>
              <w:right w:val="single" w:sz="4" w:color="808080"/>
            </w:tcBorders>
            <w:vAlign w:val="top"/>
          </w:tcPr>
          <w:p>
            <w:pPr>
              <w:jc w:val="center"/>
            </w:pPr>
            <w:r>
              <w:rPr>
                <w:rFonts w:ascii="Calibri" w:hAnsi="Calibri" w:eastAsia="Calibri"/>
                <w:b/>
                <w:sz w:val="18"/>
              </w:rPr>
              <w:t>10a</w:t>
            </w:r>
          </w:p>
        </w:tc>
        <w:tc>
          <w:tcPr>
            <w:tcW w:type="dxa" w:w="5102"/>
            <w:tcBorders>
              <w:top w:val="single" w:sz="4" w:color="808080"/>
              <w:left w:val="single" w:sz="4" w:color="808080"/>
              <w:bottom w:val="single" w:sz="4" w:color="808080"/>
              <w:right w:val="single" w:sz="4" w:color="808080"/>
            </w:tcBorders>
            <w:vAlign w:val="top"/>
          </w:tcPr>
          <w:p>
            <w:r>
              <w:rPr>
                <w:rFonts w:ascii="Calibri" w:hAnsi="Calibri" w:eastAsia="Calibri"/>
                <w:b w:val="0"/>
                <w:sz w:val="18"/>
              </w:rPr>
              <w:t>List and define all outcomes for which data were sought. Specify whether all results that were compatible with each outcome domain in each study were sought (e.g. for all measures, time points, analyses), and if not, the methods used to decide which results to collect.</w:t>
            </w:r>
          </w:p>
        </w:tc>
        <w:tc>
          <w:tcPr>
            <w:tcW w:type="dxa" w:w="6236"/>
            <w:tcBorders>
              <w:top w:val="single" w:sz="4" w:color="808080"/>
              <w:left w:val="single" w:sz="4" w:color="808080"/>
              <w:bottom w:val="single" w:sz="4" w:color="808080"/>
              <w:right w:val="single" w:sz="4" w:color="808080"/>
            </w:tcBorders>
            <w:vAlign w:val="top"/>
          </w:tcPr>
          <w:p>
            <w:r>
              <w:rPr>
                <w:rFonts w:ascii="Calibri" w:hAnsi="Calibri" w:eastAsia="Calibri"/>
                <w:b w:val="0"/>
                <w:sz w:val="18"/>
              </w:rPr>
              <w:t>Methods → “Eligibility Criteria” and “Data Extraction” subsections — primary outcome (academic achievement: GPA, course grade, exam, composite); secondary outcomes (satisfaction, engagement, learning behavior, dropout/persistence). For multi-result studies, the most inclusive effect size was retained in the primary pool, with sensitivity analysis using RVE / three-level models.</w:t>
            </w:r>
          </w:p>
        </w:tc>
      </w:tr>
      <w:tr>
        <w:tc>
          <w:tcPr>
            <w:tcW w:type="dxa" w:w="2268"/>
            <w:tcBorders>
              <w:top w:val="single" w:sz="4" w:color="808080"/>
              <w:left w:val="single" w:sz="4" w:color="808080"/>
              <w:bottom w:val="single" w:sz="4" w:color="808080"/>
              <w:right w:val="single" w:sz="4" w:color="808080"/>
            </w:tcBorders>
            <w:vAlign w:val="top"/>
          </w:tcPr>
          <w:p>
            <w:r>
              <w:rPr>
                <w:rFonts w:ascii="Calibri" w:hAnsi="Calibri" w:eastAsia="Calibri"/>
                <w:b w:val="0"/>
                <w:sz w:val="18"/>
              </w:rPr>
              <w:t>Data items</w:t>
            </w:r>
          </w:p>
        </w:tc>
        <w:tc>
          <w:tcPr>
            <w:tcW w:type="dxa" w:w="794"/>
            <w:tcBorders>
              <w:top w:val="single" w:sz="4" w:color="808080"/>
              <w:left w:val="single" w:sz="4" w:color="808080"/>
              <w:bottom w:val="single" w:sz="4" w:color="808080"/>
              <w:right w:val="single" w:sz="4" w:color="808080"/>
            </w:tcBorders>
            <w:vAlign w:val="top"/>
          </w:tcPr>
          <w:p>
            <w:pPr>
              <w:jc w:val="center"/>
            </w:pPr>
            <w:r>
              <w:rPr>
                <w:rFonts w:ascii="Calibri" w:hAnsi="Calibri" w:eastAsia="Calibri"/>
                <w:b/>
                <w:sz w:val="18"/>
              </w:rPr>
              <w:t>10b</w:t>
            </w:r>
          </w:p>
        </w:tc>
        <w:tc>
          <w:tcPr>
            <w:tcW w:type="dxa" w:w="5102"/>
            <w:tcBorders>
              <w:top w:val="single" w:sz="4" w:color="808080"/>
              <w:left w:val="single" w:sz="4" w:color="808080"/>
              <w:bottom w:val="single" w:sz="4" w:color="808080"/>
              <w:right w:val="single" w:sz="4" w:color="808080"/>
            </w:tcBorders>
            <w:vAlign w:val="top"/>
          </w:tcPr>
          <w:p>
            <w:r>
              <w:rPr>
                <w:rFonts w:ascii="Calibri" w:hAnsi="Calibri" w:eastAsia="Calibri"/>
                <w:b w:val="0"/>
                <w:sz w:val="18"/>
              </w:rPr>
              <w:t>List and define all other variables for which data were sought (e.g. participant and intervention characteristics, funding sources). Describe any assumptions made about any missing or unclear information.</w:t>
            </w:r>
          </w:p>
        </w:tc>
        <w:tc>
          <w:tcPr>
            <w:tcW w:type="dxa" w:w="6236"/>
            <w:tcBorders>
              <w:top w:val="single" w:sz="4" w:color="808080"/>
              <w:left w:val="single" w:sz="4" w:color="808080"/>
              <w:bottom w:val="single" w:sz="4" w:color="808080"/>
              <w:right w:val="single" w:sz="4" w:color="808080"/>
            </w:tcBorders>
            <w:vAlign w:val="top"/>
          </w:tcPr>
          <w:p>
            <w:r>
              <w:rPr>
                <w:rFonts w:ascii="Calibri" w:hAnsi="Calibri" w:eastAsia="Calibri"/>
                <w:b w:val="0"/>
                <w:sz w:val="18"/>
              </w:rPr>
              <w:t>Methods → “Data Extraction” subsection — full extraction-form specification (sample, learning context, personality measurement, outcome measurement, effect-size statistics). Missing-information policy: corresponding-author contact, conversion rules where possible, otherwise exclusion with logged reason.</w:t>
            </w:r>
          </w:p>
        </w:tc>
      </w:tr>
      <w:tr>
        <w:tc>
          <w:tcPr>
            <w:tcW w:type="dxa" w:w="2268"/>
            <w:tcBorders>
              <w:top w:val="single" w:sz="4" w:color="808080"/>
              <w:left w:val="single" w:sz="4" w:color="808080"/>
              <w:bottom w:val="single" w:sz="4" w:color="808080"/>
              <w:right w:val="single" w:sz="4" w:color="808080"/>
            </w:tcBorders>
            <w:vAlign w:val="top"/>
          </w:tcPr>
          <w:p>
            <w:r>
              <w:rPr>
                <w:rFonts w:ascii="Calibri" w:hAnsi="Calibri" w:eastAsia="Calibri"/>
                <w:b w:val="0"/>
                <w:sz w:val="18"/>
              </w:rPr>
              <w:t>Study risk of bias assessment</w:t>
            </w:r>
          </w:p>
        </w:tc>
        <w:tc>
          <w:tcPr>
            <w:tcW w:type="dxa" w:w="794"/>
            <w:tcBorders>
              <w:top w:val="single" w:sz="4" w:color="808080"/>
              <w:left w:val="single" w:sz="4" w:color="808080"/>
              <w:bottom w:val="single" w:sz="4" w:color="808080"/>
              <w:right w:val="single" w:sz="4" w:color="808080"/>
            </w:tcBorders>
            <w:vAlign w:val="top"/>
          </w:tcPr>
          <w:p>
            <w:pPr>
              <w:jc w:val="center"/>
            </w:pPr>
            <w:r>
              <w:rPr>
                <w:rFonts w:ascii="Calibri" w:hAnsi="Calibri" w:eastAsia="Calibri"/>
                <w:b/>
                <w:sz w:val="18"/>
              </w:rPr>
              <w:t>11</w:t>
            </w:r>
          </w:p>
        </w:tc>
        <w:tc>
          <w:tcPr>
            <w:tcW w:type="dxa" w:w="5102"/>
            <w:tcBorders>
              <w:top w:val="single" w:sz="4" w:color="808080"/>
              <w:left w:val="single" w:sz="4" w:color="808080"/>
              <w:bottom w:val="single" w:sz="4" w:color="808080"/>
              <w:right w:val="single" w:sz="4" w:color="808080"/>
            </w:tcBorders>
            <w:vAlign w:val="top"/>
          </w:tcPr>
          <w:p>
            <w:r>
              <w:rPr>
                <w:rFonts w:ascii="Calibri" w:hAnsi="Calibri" w:eastAsia="Calibri"/>
                <w:b w:val="0"/>
                <w:sz w:val="18"/>
              </w:rPr>
              <w:t>Specify the methods used to assess risk of bias in the included studies, including details of the tool(s) used, how many reviewers assessed each study and whether they worked independently, and if applicable, details of automation tools used in the process.</w:t>
            </w:r>
          </w:p>
        </w:tc>
        <w:tc>
          <w:tcPr>
            <w:tcW w:type="dxa" w:w="6236"/>
            <w:tcBorders>
              <w:top w:val="single" w:sz="4" w:color="808080"/>
              <w:left w:val="single" w:sz="4" w:color="808080"/>
              <w:bottom w:val="single" w:sz="4" w:color="808080"/>
              <w:right w:val="single" w:sz="4" w:color="808080"/>
            </w:tcBorders>
            <w:vAlign w:val="top"/>
          </w:tcPr>
          <w:p>
            <w:r>
              <w:rPr>
                <w:rFonts w:ascii="Calibri" w:hAnsi="Calibri" w:eastAsia="Calibri"/>
                <w:b w:val="0"/>
                <w:sz w:val="18"/>
              </w:rPr>
              <w:t>Methods → “Risk of Bias Assessment” subsection — Joanna Briggs Institute (JBI) Critical Appraisal Checklist for Analytical Cross-Sectional Studies, 8 items, single reviewer with 20% re-assessment, target κ ≥ 0.80. No automation.</w:t>
            </w:r>
          </w:p>
        </w:tc>
      </w:tr>
      <w:tr>
        <w:tc>
          <w:tcPr>
            <w:tcW w:type="dxa" w:w="2268"/>
            <w:tcBorders>
              <w:top w:val="single" w:sz="4" w:color="808080"/>
              <w:left w:val="single" w:sz="4" w:color="808080"/>
              <w:bottom w:val="single" w:sz="4" w:color="808080"/>
              <w:right w:val="single" w:sz="4" w:color="808080"/>
            </w:tcBorders>
            <w:vAlign w:val="top"/>
          </w:tcPr>
          <w:p>
            <w:r>
              <w:rPr>
                <w:rFonts w:ascii="Calibri" w:hAnsi="Calibri" w:eastAsia="Calibri"/>
                <w:b w:val="0"/>
                <w:sz w:val="18"/>
              </w:rPr>
              <w:t>Effect measures</w:t>
            </w:r>
          </w:p>
        </w:tc>
        <w:tc>
          <w:tcPr>
            <w:tcW w:type="dxa" w:w="794"/>
            <w:tcBorders>
              <w:top w:val="single" w:sz="4" w:color="808080"/>
              <w:left w:val="single" w:sz="4" w:color="808080"/>
              <w:bottom w:val="single" w:sz="4" w:color="808080"/>
              <w:right w:val="single" w:sz="4" w:color="808080"/>
            </w:tcBorders>
            <w:vAlign w:val="top"/>
          </w:tcPr>
          <w:p>
            <w:pPr>
              <w:jc w:val="center"/>
            </w:pPr>
            <w:r>
              <w:rPr>
                <w:rFonts w:ascii="Calibri" w:hAnsi="Calibri" w:eastAsia="Calibri"/>
                <w:b/>
                <w:sz w:val="18"/>
              </w:rPr>
              <w:t>12</w:t>
            </w:r>
          </w:p>
        </w:tc>
        <w:tc>
          <w:tcPr>
            <w:tcW w:type="dxa" w:w="5102"/>
            <w:tcBorders>
              <w:top w:val="single" w:sz="4" w:color="808080"/>
              <w:left w:val="single" w:sz="4" w:color="808080"/>
              <w:bottom w:val="single" w:sz="4" w:color="808080"/>
              <w:right w:val="single" w:sz="4" w:color="808080"/>
            </w:tcBorders>
            <w:vAlign w:val="top"/>
          </w:tcPr>
          <w:p>
            <w:r>
              <w:rPr>
                <w:rFonts w:ascii="Calibri" w:hAnsi="Calibri" w:eastAsia="Calibri"/>
                <w:b w:val="0"/>
                <w:sz w:val="18"/>
              </w:rPr>
              <w:t>Specify for each outcome the effect measure(s) (e.g. risk ratio, mean difference) used in the synthesis or presentation of results.</w:t>
            </w:r>
          </w:p>
        </w:tc>
        <w:tc>
          <w:tcPr>
            <w:tcW w:type="dxa" w:w="6236"/>
            <w:tcBorders>
              <w:top w:val="single" w:sz="4" w:color="808080"/>
              <w:left w:val="single" w:sz="4" w:color="808080"/>
              <w:bottom w:val="single" w:sz="4" w:color="808080"/>
              <w:right w:val="single" w:sz="4" w:color="808080"/>
            </w:tcBorders>
            <w:vAlign w:val="top"/>
          </w:tcPr>
          <w:p>
            <w:r>
              <w:rPr>
                <w:rFonts w:ascii="Calibri" w:hAnsi="Calibri" w:eastAsia="Calibri"/>
                <w:b w:val="0"/>
                <w:sz w:val="18"/>
              </w:rPr>
              <w:t>Methods → “Effect Size Metric and Transformations” subsection — Pearson r as the primary metric; analyses on the Fisher z scale with back-transformation to r for reporting. Conversion rules for β, d, η², F, and t are pre-specified.</w:t>
            </w:r>
          </w:p>
        </w:tc>
      </w:tr>
      <w:tr>
        <w:tc>
          <w:tcPr>
            <w:tcW w:type="dxa" w:w="2268"/>
            <w:tcBorders>
              <w:top w:val="single" w:sz="4" w:color="808080"/>
              <w:left w:val="single" w:sz="4" w:color="808080"/>
              <w:bottom w:val="single" w:sz="4" w:color="808080"/>
              <w:right w:val="single" w:sz="4" w:color="808080"/>
            </w:tcBorders>
            <w:vAlign w:val="top"/>
          </w:tcPr>
          <w:p>
            <w:r>
              <w:rPr>
                <w:rFonts w:ascii="Calibri" w:hAnsi="Calibri" w:eastAsia="Calibri"/>
                <w:b w:val="0"/>
                <w:sz w:val="18"/>
              </w:rPr>
              <w:t>Synthesis methods</w:t>
            </w:r>
          </w:p>
        </w:tc>
        <w:tc>
          <w:tcPr>
            <w:tcW w:type="dxa" w:w="794"/>
            <w:tcBorders>
              <w:top w:val="single" w:sz="4" w:color="808080"/>
              <w:left w:val="single" w:sz="4" w:color="808080"/>
              <w:bottom w:val="single" w:sz="4" w:color="808080"/>
              <w:right w:val="single" w:sz="4" w:color="808080"/>
            </w:tcBorders>
            <w:vAlign w:val="top"/>
          </w:tcPr>
          <w:p>
            <w:pPr>
              <w:jc w:val="center"/>
            </w:pPr>
            <w:r>
              <w:rPr>
                <w:rFonts w:ascii="Calibri" w:hAnsi="Calibri" w:eastAsia="Calibri"/>
                <w:b/>
                <w:sz w:val="18"/>
              </w:rPr>
              <w:t>13a</w:t>
            </w:r>
          </w:p>
        </w:tc>
        <w:tc>
          <w:tcPr>
            <w:tcW w:type="dxa" w:w="5102"/>
            <w:tcBorders>
              <w:top w:val="single" w:sz="4" w:color="808080"/>
              <w:left w:val="single" w:sz="4" w:color="808080"/>
              <w:bottom w:val="single" w:sz="4" w:color="808080"/>
              <w:right w:val="single" w:sz="4" w:color="808080"/>
            </w:tcBorders>
            <w:vAlign w:val="top"/>
          </w:tcPr>
          <w:p>
            <w:r>
              <w:rPr>
                <w:rFonts w:ascii="Calibri" w:hAnsi="Calibri" w:eastAsia="Calibri"/>
                <w:b w:val="0"/>
                <w:sz w:val="18"/>
              </w:rPr>
              <w:t>Describe the processes used to decide which studies were eligible for each synthesis (e.g. tabulating the study intervention characteristics and comparing against the planned groups for each synthesis).</w:t>
            </w:r>
          </w:p>
        </w:tc>
        <w:tc>
          <w:tcPr>
            <w:tcW w:type="dxa" w:w="6236"/>
            <w:tcBorders>
              <w:top w:val="single" w:sz="4" w:color="808080"/>
              <w:left w:val="single" w:sz="4" w:color="808080"/>
              <w:bottom w:val="single" w:sz="4" w:color="808080"/>
              <w:right w:val="single" w:sz="4" w:color="808080"/>
            </w:tcBorders>
            <w:vAlign w:val="top"/>
          </w:tcPr>
          <w:p>
            <w:r>
              <w:rPr>
                <w:rFonts w:ascii="Calibri" w:hAnsi="Calibri" w:eastAsia="Calibri"/>
                <w:b w:val="0"/>
                <w:sz w:val="18"/>
              </w:rPr>
              <w:t>Methods → “Eligibility Criteria,” “Study Selection,” and “Statistical Analysis and Synthesis Strategy” subsections; Table 1 catalogues all 31 records with eligibility, retention, and trait-by-trait contribution.</w:t>
            </w:r>
          </w:p>
        </w:tc>
      </w:tr>
      <w:tr>
        <w:tc>
          <w:tcPr>
            <w:tcW w:type="dxa" w:w="2268"/>
            <w:tcBorders>
              <w:top w:val="single" w:sz="4" w:color="808080"/>
              <w:left w:val="single" w:sz="4" w:color="808080"/>
              <w:bottom w:val="single" w:sz="4" w:color="808080"/>
              <w:right w:val="single" w:sz="4" w:color="808080"/>
            </w:tcBorders>
            <w:vAlign w:val="top"/>
          </w:tcPr>
          <w:p>
            <w:r>
              <w:rPr>
                <w:rFonts w:ascii="Calibri" w:hAnsi="Calibri" w:eastAsia="Calibri"/>
                <w:b w:val="0"/>
                <w:sz w:val="18"/>
              </w:rPr>
              <w:t>Synthesis methods</w:t>
            </w:r>
          </w:p>
        </w:tc>
        <w:tc>
          <w:tcPr>
            <w:tcW w:type="dxa" w:w="794"/>
            <w:tcBorders>
              <w:top w:val="single" w:sz="4" w:color="808080"/>
              <w:left w:val="single" w:sz="4" w:color="808080"/>
              <w:bottom w:val="single" w:sz="4" w:color="808080"/>
              <w:right w:val="single" w:sz="4" w:color="808080"/>
            </w:tcBorders>
            <w:vAlign w:val="top"/>
          </w:tcPr>
          <w:p>
            <w:pPr>
              <w:jc w:val="center"/>
            </w:pPr>
            <w:r>
              <w:rPr>
                <w:rFonts w:ascii="Calibri" w:hAnsi="Calibri" w:eastAsia="Calibri"/>
                <w:b/>
                <w:sz w:val="18"/>
              </w:rPr>
              <w:t>13b</w:t>
            </w:r>
          </w:p>
        </w:tc>
        <w:tc>
          <w:tcPr>
            <w:tcW w:type="dxa" w:w="5102"/>
            <w:tcBorders>
              <w:top w:val="single" w:sz="4" w:color="808080"/>
              <w:left w:val="single" w:sz="4" w:color="808080"/>
              <w:bottom w:val="single" w:sz="4" w:color="808080"/>
              <w:right w:val="single" w:sz="4" w:color="808080"/>
            </w:tcBorders>
            <w:vAlign w:val="top"/>
          </w:tcPr>
          <w:p>
            <w:r>
              <w:rPr>
                <w:rFonts w:ascii="Calibri" w:hAnsi="Calibri" w:eastAsia="Calibri"/>
                <w:b w:val="0"/>
                <w:sz w:val="18"/>
              </w:rPr>
              <w:t>Describe any methods required to prepare the data for presentation or synthesis, such as handling of missing summary statistics, or data conversions.</w:t>
            </w:r>
          </w:p>
        </w:tc>
        <w:tc>
          <w:tcPr>
            <w:tcW w:type="dxa" w:w="6236"/>
            <w:tcBorders>
              <w:top w:val="single" w:sz="4" w:color="808080"/>
              <w:left w:val="single" w:sz="4" w:color="808080"/>
              <w:bottom w:val="single" w:sz="4" w:color="808080"/>
              <w:right w:val="single" w:sz="4" w:color="808080"/>
            </w:tcBorders>
            <w:vAlign w:val="top"/>
          </w:tcPr>
          <w:p>
            <w:r>
              <w:rPr>
                <w:rFonts w:ascii="Calibri" w:hAnsi="Calibri" w:eastAsia="Calibri"/>
                <w:b w:val="0"/>
                <w:sz w:val="18"/>
              </w:rPr>
              <w:t>Methods → “Effect Size Metric and Transformations” subsection — Fisher z transformation, conversion of β / d / η² / F / t to r, Neuroticism sign alignment for Emotional Stability reports, and the HEXACO-to-Big-Five crosswalk (Ashton &amp; Lee, 2007) with sensitivity variants.</w:t>
            </w:r>
          </w:p>
        </w:tc>
      </w:tr>
      <w:tr>
        <w:tc>
          <w:tcPr>
            <w:tcW w:type="dxa" w:w="2268"/>
            <w:tcBorders>
              <w:top w:val="single" w:sz="4" w:color="808080"/>
              <w:left w:val="single" w:sz="4" w:color="808080"/>
              <w:bottom w:val="single" w:sz="4" w:color="808080"/>
              <w:right w:val="single" w:sz="4" w:color="808080"/>
            </w:tcBorders>
            <w:vAlign w:val="top"/>
          </w:tcPr>
          <w:p>
            <w:r>
              <w:rPr>
                <w:rFonts w:ascii="Calibri" w:hAnsi="Calibri" w:eastAsia="Calibri"/>
                <w:b w:val="0"/>
                <w:sz w:val="18"/>
              </w:rPr>
              <w:t>Synthesis methods</w:t>
            </w:r>
          </w:p>
        </w:tc>
        <w:tc>
          <w:tcPr>
            <w:tcW w:type="dxa" w:w="794"/>
            <w:tcBorders>
              <w:top w:val="single" w:sz="4" w:color="808080"/>
              <w:left w:val="single" w:sz="4" w:color="808080"/>
              <w:bottom w:val="single" w:sz="4" w:color="808080"/>
              <w:right w:val="single" w:sz="4" w:color="808080"/>
            </w:tcBorders>
            <w:vAlign w:val="top"/>
          </w:tcPr>
          <w:p>
            <w:pPr>
              <w:jc w:val="center"/>
            </w:pPr>
            <w:r>
              <w:rPr>
                <w:rFonts w:ascii="Calibri" w:hAnsi="Calibri" w:eastAsia="Calibri"/>
                <w:b/>
                <w:sz w:val="18"/>
              </w:rPr>
              <w:t>13c</w:t>
            </w:r>
          </w:p>
        </w:tc>
        <w:tc>
          <w:tcPr>
            <w:tcW w:type="dxa" w:w="5102"/>
            <w:tcBorders>
              <w:top w:val="single" w:sz="4" w:color="808080"/>
              <w:left w:val="single" w:sz="4" w:color="808080"/>
              <w:bottom w:val="single" w:sz="4" w:color="808080"/>
              <w:right w:val="single" w:sz="4" w:color="808080"/>
            </w:tcBorders>
            <w:vAlign w:val="top"/>
          </w:tcPr>
          <w:p>
            <w:r>
              <w:rPr>
                <w:rFonts w:ascii="Calibri" w:hAnsi="Calibri" w:eastAsia="Calibri"/>
                <w:b w:val="0"/>
                <w:sz w:val="18"/>
              </w:rPr>
              <w:t>Describe any methods used to tabulate or visually display results of individual studies and syntheses.</w:t>
            </w:r>
          </w:p>
        </w:tc>
        <w:tc>
          <w:tcPr>
            <w:tcW w:type="dxa" w:w="6236"/>
            <w:tcBorders>
              <w:top w:val="single" w:sz="4" w:color="808080"/>
              <w:left w:val="single" w:sz="4" w:color="808080"/>
              <w:bottom w:val="single" w:sz="4" w:color="808080"/>
              <w:right w:val="single" w:sz="4" w:color="808080"/>
            </w:tcBorders>
            <w:vAlign w:val="top"/>
          </w:tcPr>
          <w:p>
            <w:r>
              <w:rPr>
                <w:rFonts w:ascii="Calibri" w:hAnsi="Calibri" w:eastAsia="Calibri"/>
                <w:b w:val="0"/>
                <w:sz w:val="18"/>
              </w:rPr>
              <w:t>Methods → “Statistical Analysis and Synthesis Strategy” and “Publication Bias” subsections — forest plots (Figures 2–6), funnel plots (Figures 7–11), and tables (Tables 1–5). Visualizations produced in ggplot2.</w:t>
            </w:r>
          </w:p>
        </w:tc>
      </w:tr>
      <w:tr>
        <w:tc>
          <w:tcPr>
            <w:tcW w:type="dxa" w:w="2268"/>
            <w:tcBorders>
              <w:top w:val="single" w:sz="4" w:color="808080"/>
              <w:left w:val="single" w:sz="4" w:color="808080"/>
              <w:bottom w:val="single" w:sz="4" w:color="808080"/>
              <w:right w:val="single" w:sz="4" w:color="808080"/>
            </w:tcBorders>
            <w:vAlign w:val="top"/>
          </w:tcPr>
          <w:p>
            <w:r>
              <w:rPr>
                <w:rFonts w:ascii="Calibri" w:hAnsi="Calibri" w:eastAsia="Calibri"/>
                <w:b w:val="0"/>
                <w:sz w:val="18"/>
              </w:rPr>
              <w:t>Synthesis methods</w:t>
            </w:r>
          </w:p>
        </w:tc>
        <w:tc>
          <w:tcPr>
            <w:tcW w:type="dxa" w:w="794"/>
            <w:tcBorders>
              <w:top w:val="single" w:sz="4" w:color="808080"/>
              <w:left w:val="single" w:sz="4" w:color="808080"/>
              <w:bottom w:val="single" w:sz="4" w:color="808080"/>
              <w:right w:val="single" w:sz="4" w:color="808080"/>
            </w:tcBorders>
            <w:vAlign w:val="top"/>
          </w:tcPr>
          <w:p>
            <w:pPr>
              <w:jc w:val="center"/>
            </w:pPr>
            <w:r>
              <w:rPr>
                <w:rFonts w:ascii="Calibri" w:hAnsi="Calibri" w:eastAsia="Calibri"/>
                <w:b/>
                <w:sz w:val="18"/>
              </w:rPr>
              <w:t>13d</w:t>
            </w:r>
          </w:p>
        </w:tc>
        <w:tc>
          <w:tcPr>
            <w:tcW w:type="dxa" w:w="5102"/>
            <w:tcBorders>
              <w:top w:val="single" w:sz="4" w:color="808080"/>
              <w:left w:val="single" w:sz="4" w:color="808080"/>
              <w:bottom w:val="single" w:sz="4" w:color="808080"/>
              <w:right w:val="single" w:sz="4" w:color="808080"/>
            </w:tcBorders>
            <w:vAlign w:val="top"/>
          </w:tcPr>
          <w:p>
            <w:r>
              <w:rPr>
                <w:rFonts w:ascii="Calibri" w:hAnsi="Calibri" w:eastAsia="Calibri"/>
                <w:b w:val="0"/>
                <w:sz w:val="18"/>
              </w:rPr>
              <w:t>Describe any methods used to synthesize results and provide a rationale for the choice(s). If meta-analysis was performed, describe the model(s), method(s) to identify the presence and extent of statistical heterogeneity, and software package(s) used.</w:t>
            </w:r>
          </w:p>
        </w:tc>
        <w:tc>
          <w:tcPr>
            <w:tcW w:type="dxa" w:w="6236"/>
            <w:tcBorders>
              <w:top w:val="single" w:sz="4" w:color="808080"/>
              <w:left w:val="single" w:sz="4" w:color="808080"/>
              <w:bottom w:val="single" w:sz="4" w:color="808080"/>
              <w:right w:val="single" w:sz="4" w:color="808080"/>
            </w:tcBorders>
            <w:vAlign w:val="top"/>
          </w:tcPr>
          <w:p>
            <w:r>
              <w:rPr>
                <w:rFonts w:ascii="Calibri" w:hAnsi="Calibri" w:eastAsia="Calibri"/>
                <w:b w:val="0"/>
                <w:sz w:val="18"/>
              </w:rPr>
              <w:t>Methods → “Statistical Analysis and Synthesis Strategy” subsection — random-effects meta-analysis with REML τ² estimation, Hartung-Knapp-Sidik-Jonkman 95% CI adjustment, Cochran's Q, I², τ², τ, 95% prediction intervals. Software: R ≥ 4.3.0 with metafor, clubSandwich, dmetar, ggplot2 (deposited renv.lock and sessionInfo on OSF).</w:t>
            </w:r>
          </w:p>
        </w:tc>
      </w:tr>
      <w:tr>
        <w:tc>
          <w:tcPr>
            <w:tcW w:type="dxa" w:w="2268"/>
            <w:tcBorders>
              <w:top w:val="single" w:sz="4" w:color="808080"/>
              <w:left w:val="single" w:sz="4" w:color="808080"/>
              <w:bottom w:val="single" w:sz="4" w:color="808080"/>
              <w:right w:val="single" w:sz="4" w:color="808080"/>
            </w:tcBorders>
            <w:vAlign w:val="top"/>
          </w:tcPr>
          <w:p>
            <w:r>
              <w:rPr>
                <w:rFonts w:ascii="Calibri" w:hAnsi="Calibri" w:eastAsia="Calibri"/>
                <w:b w:val="0"/>
                <w:sz w:val="18"/>
              </w:rPr>
              <w:t>Synthesis methods</w:t>
            </w:r>
          </w:p>
        </w:tc>
        <w:tc>
          <w:tcPr>
            <w:tcW w:type="dxa" w:w="794"/>
            <w:tcBorders>
              <w:top w:val="single" w:sz="4" w:color="808080"/>
              <w:left w:val="single" w:sz="4" w:color="808080"/>
              <w:bottom w:val="single" w:sz="4" w:color="808080"/>
              <w:right w:val="single" w:sz="4" w:color="808080"/>
            </w:tcBorders>
            <w:vAlign w:val="top"/>
          </w:tcPr>
          <w:p>
            <w:pPr>
              <w:jc w:val="center"/>
            </w:pPr>
            <w:r>
              <w:rPr>
                <w:rFonts w:ascii="Calibri" w:hAnsi="Calibri" w:eastAsia="Calibri"/>
                <w:b/>
                <w:sz w:val="18"/>
              </w:rPr>
              <w:t>13e</w:t>
            </w:r>
          </w:p>
        </w:tc>
        <w:tc>
          <w:tcPr>
            <w:tcW w:type="dxa" w:w="5102"/>
            <w:tcBorders>
              <w:top w:val="single" w:sz="4" w:color="808080"/>
              <w:left w:val="single" w:sz="4" w:color="808080"/>
              <w:bottom w:val="single" w:sz="4" w:color="808080"/>
              <w:right w:val="single" w:sz="4" w:color="808080"/>
            </w:tcBorders>
            <w:vAlign w:val="top"/>
          </w:tcPr>
          <w:p>
            <w:r>
              <w:rPr>
                <w:rFonts w:ascii="Calibri" w:hAnsi="Calibri" w:eastAsia="Calibri"/>
                <w:b w:val="0"/>
                <w:sz w:val="18"/>
              </w:rPr>
              <w:t>Describe any methods used to explore possible causes of heterogeneity among study results (e.g. subgroup analysis, meta-regression).</w:t>
            </w:r>
          </w:p>
        </w:tc>
        <w:tc>
          <w:tcPr>
            <w:tcW w:type="dxa" w:w="6236"/>
            <w:tcBorders>
              <w:top w:val="single" w:sz="4" w:color="808080"/>
              <w:left w:val="single" w:sz="4" w:color="808080"/>
              <w:bottom w:val="single" w:sz="4" w:color="808080"/>
              <w:right w:val="single" w:sz="4" w:color="808080"/>
            </w:tcBorders>
            <w:vAlign w:val="top"/>
          </w:tcPr>
          <w:p>
            <w:r>
              <w:rPr>
                <w:rFonts w:ascii="Calibri" w:hAnsi="Calibri" w:eastAsia="Calibri"/>
                <w:b w:val="0"/>
                <w:sz w:val="18"/>
              </w:rPr>
              <w:t>Methods → “Moderator and Sensitivity Analyses” subsection — nine pre-specified moderators (5 categorical: modality, education level, region, era, outcome type, instrument; 3 continuous: publication year, log-N, RoB score), tested via mixed-effects meta-regression with Wald-type QM tests; Holm-Bonferroni correction within trait. Pre-registered restriction to k ≥ 10 per level for quantitative testing, with the remaining moderators reported narratively (disclosed as a deviation).</w:t>
            </w:r>
          </w:p>
        </w:tc>
      </w:tr>
      <w:tr>
        <w:tc>
          <w:tcPr>
            <w:tcW w:type="dxa" w:w="2268"/>
            <w:tcBorders>
              <w:top w:val="single" w:sz="4" w:color="808080"/>
              <w:left w:val="single" w:sz="4" w:color="808080"/>
              <w:bottom w:val="single" w:sz="4" w:color="808080"/>
              <w:right w:val="single" w:sz="4" w:color="808080"/>
            </w:tcBorders>
            <w:vAlign w:val="top"/>
          </w:tcPr>
          <w:p>
            <w:r>
              <w:rPr>
                <w:rFonts w:ascii="Calibri" w:hAnsi="Calibri" w:eastAsia="Calibri"/>
                <w:b w:val="0"/>
                <w:sz w:val="18"/>
              </w:rPr>
              <w:t>Synthesis methods</w:t>
            </w:r>
          </w:p>
        </w:tc>
        <w:tc>
          <w:tcPr>
            <w:tcW w:type="dxa" w:w="794"/>
            <w:tcBorders>
              <w:top w:val="single" w:sz="4" w:color="808080"/>
              <w:left w:val="single" w:sz="4" w:color="808080"/>
              <w:bottom w:val="single" w:sz="4" w:color="808080"/>
              <w:right w:val="single" w:sz="4" w:color="808080"/>
            </w:tcBorders>
            <w:vAlign w:val="top"/>
          </w:tcPr>
          <w:p>
            <w:pPr>
              <w:jc w:val="center"/>
            </w:pPr>
            <w:r>
              <w:rPr>
                <w:rFonts w:ascii="Calibri" w:hAnsi="Calibri" w:eastAsia="Calibri"/>
                <w:b/>
                <w:sz w:val="18"/>
              </w:rPr>
              <w:t>13f</w:t>
            </w:r>
          </w:p>
        </w:tc>
        <w:tc>
          <w:tcPr>
            <w:tcW w:type="dxa" w:w="5102"/>
            <w:tcBorders>
              <w:top w:val="single" w:sz="4" w:color="808080"/>
              <w:left w:val="single" w:sz="4" w:color="808080"/>
              <w:bottom w:val="single" w:sz="4" w:color="808080"/>
              <w:right w:val="single" w:sz="4" w:color="808080"/>
            </w:tcBorders>
            <w:vAlign w:val="top"/>
          </w:tcPr>
          <w:p>
            <w:r>
              <w:rPr>
                <w:rFonts w:ascii="Calibri" w:hAnsi="Calibri" w:eastAsia="Calibri"/>
                <w:b w:val="0"/>
                <w:sz w:val="18"/>
              </w:rPr>
              <w:t>Describe any sensitivity analyses conducted to assess robustness of the synthesized results.</w:t>
            </w:r>
          </w:p>
        </w:tc>
        <w:tc>
          <w:tcPr>
            <w:tcW w:type="dxa" w:w="6236"/>
            <w:tcBorders>
              <w:top w:val="single" w:sz="4" w:color="808080"/>
              <w:left w:val="single" w:sz="4" w:color="808080"/>
              <w:bottom w:val="single" w:sz="4" w:color="808080"/>
              <w:right w:val="single" w:sz="4" w:color="808080"/>
            </w:tcBorders>
            <w:vAlign w:val="top"/>
          </w:tcPr>
          <w:p>
            <w:r>
              <w:rPr>
                <w:rFonts w:ascii="Calibri" w:hAnsi="Calibri" w:eastAsia="Calibri"/>
                <w:b w:val="0"/>
                <w:sz w:val="18"/>
              </w:rPr>
              <w:t>Methods → “Moderator and Sensitivity Analyses” subsection — seven pre-specified sensitivity analyses (RoB &lt; 5 exclusion; author's-own-study exclusion; converted-effect-size exclusion; small-sample exclusion; HEXACO-mapping variants; leave-one-out with Cook's distance; DerSimonian-Laird vs. REML). Results in Results → “Sensitivity and Robustness” and Table 4.</w:t>
            </w:r>
          </w:p>
        </w:tc>
      </w:tr>
      <w:tr>
        <w:tc>
          <w:tcPr>
            <w:tcW w:type="dxa" w:w="2268"/>
            <w:tcBorders>
              <w:top w:val="single" w:sz="4" w:color="808080"/>
              <w:left w:val="single" w:sz="4" w:color="808080"/>
              <w:bottom w:val="single" w:sz="4" w:color="808080"/>
              <w:right w:val="single" w:sz="4" w:color="808080"/>
            </w:tcBorders>
            <w:vAlign w:val="top"/>
          </w:tcPr>
          <w:p>
            <w:r>
              <w:rPr>
                <w:rFonts w:ascii="Calibri" w:hAnsi="Calibri" w:eastAsia="Calibri"/>
                <w:b w:val="0"/>
                <w:sz w:val="18"/>
              </w:rPr>
              <w:t>Reporting bias assessment</w:t>
            </w:r>
          </w:p>
        </w:tc>
        <w:tc>
          <w:tcPr>
            <w:tcW w:type="dxa" w:w="794"/>
            <w:tcBorders>
              <w:top w:val="single" w:sz="4" w:color="808080"/>
              <w:left w:val="single" w:sz="4" w:color="808080"/>
              <w:bottom w:val="single" w:sz="4" w:color="808080"/>
              <w:right w:val="single" w:sz="4" w:color="808080"/>
            </w:tcBorders>
            <w:vAlign w:val="top"/>
          </w:tcPr>
          <w:p>
            <w:pPr>
              <w:jc w:val="center"/>
            </w:pPr>
            <w:r>
              <w:rPr>
                <w:rFonts w:ascii="Calibri" w:hAnsi="Calibri" w:eastAsia="Calibri"/>
                <w:b/>
                <w:sz w:val="18"/>
              </w:rPr>
              <w:t>14</w:t>
            </w:r>
          </w:p>
        </w:tc>
        <w:tc>
          <w:tcPr>
            <w:tcW w:type="dxa" w:w="5102"/>
            <w:tcBorders>
              <w:top w:val="single" w:sz="4" w:color="808080"/>
              <w:left w:val="single" w:sz="4" w:color="808080"/>
              <w:bottom w:val="single" w:sz="4" w:color="808080"/>
              <w:right w:val="single" w:sz="4" w:color="808080"/>
            </w:tcBorders>
            <w:vAlign w:val="top"/>
          </w:tcPr>
          <w:p>
            <w:r>
              <w:rPr>
                <w:rFonts w:ascii="Calibri" w:hAnsi="Calibri" w:eastAsia="Calibri"/>
                <w:b w:val="0"/>
                <w:sz w:val="18"/>
              </w:rPr>
              <w:t>Describe any methods used to assess risk of bias due to missing results in a synthesis (arising from reporting biases).</w:t>
            </w:r>
          </w:p>
        </w:tc>
        <w:tc>
          <w:tcPr>
            <w:tcW w:type="dxa" w:w="6236"/>
            <w:tcBorders>
              <w:top w:val="single" w:sz="4" w:color="808080"/>
              <w:left w:val="single" w:sz="4" w:color="808080"/>
              <w:bottom w:val="single" w:sz="4" w:color="808080"/>
              <w:right w:val="single" w:sz="4" w:color="808080"/>
            </w:tcBorders>
            <w:vAlign w:val="top"/>
          </w:tcPr>
          <w:p>
            <w:r>
              <w:rPr>
                <w:rFonts w:ascii="Calibri" w:hAnsi="Calibri" w:eastAsia="Calibri"/>
                <w:b w:val="0"/>
                <w:sz w:val="18"/>
              </w:rPr>
              <w:t>Methods → “Publication Bias” subsection — funnel plots, Egger's regression, Peters' regression, Duval &amp; Tweedie trim-and-fill (as sensitivity check, not point-estimate correction), and Simonsohn et al. p-curve. Grey-literature inclusion partially mitigates file-drawer effects.</w:t>
            </w:r>
          </w:p>
        </w:tc>
      </w:tr>
      <w:tr>
        <w:tc>
          <w:tcPr>
            <w:tcW w:type="dxa" w:w="2268"/>
            <w:tcBorders>
              <w:top w:val="single" w:sz="4" w:color="808080"/>
              <w:left w:val="single" w:sz="4" w:color="808080"/>
              <w:bottom w:val="single" w:sz="4" w:color="808080"/>
              <w:right w:val="single" w:sz="4" w:color="808080"/>
            </w:tcBorders>
            <w:vAlign w:val="top"/>
          </w:tcPr>
          <w:p>
            <w:r>
              <w:rPr>
                <w:rFonts w:ascii="Calibri" w:hAnsi="Calibri" w:eastAsia="Calibri"/>
                <w:b w:val="0"/>
                <w:sz w:val="18"/>
              </w:rPr>
              <w:t>Certainty assessment</w:t>
            </w:r>
          </w:p>
        </w:tc>
        <w:tc>
          <w:tcPr>
            <w:tcW w:type="dxa" w:w="794"/>
            <w:tcBorders>
              <w:top w:val="single" w:sz="4" w:color="808080"/>
              <w:left w:val="single" w:sz="4" w:color="808080"/>
              <w:bottom w:val="single" w:sz="4" w:color="808080"/>
              <w:right w:val="single" w:sz="4" w:color="808080"/>
            </w:tcBorders>
            <w:vAlign w:val="top"/>
          </w:tcPr>
          <w:p>
            <w:pPr>
              <w:jc w:val="center"/>
            </w:pPr>
            <w:r>
              <w:rPr>
                <w:rFonts w:ascii="Calibri" w:hAnsi="Calibri" w:eastAsia="Calibri"/>
                <w:b/>
                <w:sz w:val="18"/>
              </w:rPr>
              <w:t>15</w:t>
            </w:r>
          </w:p>
        </w:tc>
        <w:tc>
          <w:tcPr>
            <w:tcW w:type="dxa" w:w="5102"/>
            <w:tcBorders>
              <w:top w:val="single" w:sz="4" w:color="808080"/>
              <w:left w:val="single" w:sz="4" w:color="808080"/>
              <w:bottom w:val="single" w:sz="4" w:color="808080"/>
              <w:right w:val="single" w:sz="4" w:color="808080"/>
            </w:tcBorders>
            <w:vAlign w:val="top"/>
          </w:tcPr>
          <w:p>
            <w:r>
              <w:rPr>
                <w:rFonts w:ascii="Calibri" w:hAnsi="Calibri" w:eastAsia="Calibri"/>
                <w:b w:val="0"/>
                <w:sz w:val="18"/>
              </w:rPr>
              <w:t>Describe any methods used to assess certainty (or confidence) in the body of evidence for an outcome.</w:t>
            </w:r>
          </w:p>
        </w:tc>
        <w:tc>
          <w:tcPr>
            <w:tcW w:type="dxa" w:w="6236"/>
            <w:tcBorders>
              <w:top w:val="single" w:sz="4" w:color="808080"/>
              <w:left w:val="single" w:sz="4" w:color="808080"/>
              <w:bottom w:val="single" w:sz="4" w:color="808080"/>
              <w:right w:val="single" w:sz="4" w:color="808080"/>
            </w:tcBorders>
            <w:vAlign w:val="top"/>
          </w:tcPr>
          <w:p>
            <w:r>
              <w:rPr>
                <w:rFonts w:ascii="Calibri" w:hAnsi="Calibri" w:eastAsia="Calibri"/>
                <w:b w:val="0"/>
                <w:sz w:val="18"/>
              </w:rPr>
              <w:t>Methods → “Confidence in Cumulative Evidence (GRADE)” subsection — GRADE adaptation for observational correlational syntheses (Schünemann et al., 2019); five downgrade domains (RoB, inconsistency, indirectness, imprecision, publication bias) and two upgrade considerations (large magnitude, dose-response). Minimum effect of interest |r| = .10.</w:t>
            </w:r>
          </w:p>
        </w:tc>
      </w:tr>
      <w:tr>
        <w:tc>
          <w:tcPr>
            <w:tcW w:type="dxa" w:w="14400"/>
            <w:gridSpan w:val="4"/>
            <w:tcBorders>
              <w:top w:val="single" w:sz="4" w:color="808080"/>
              <w:left w:val="single" w:sz="4" w:color="808080"/>
              <w:bottom w:val="single" w:sz="4" w:color="808080"/>
              <w:right w:val="single" w:sz="4" w:color="808080"/>
            </w:tcBorders>
            <w:shd w:val="clear" w:color="auto" w:fill="F2F2F2"/>
          </w:tcPr>
          <w:p>
            <w:r/>
            <w:r>
              <w:rPr>
                <w:rFonts w:ascii="Calibri" w:hAnsi="Calibri" w:eastAsia="Calibri"/>
                <w:b/>
                <w:sz w:val="20"/>
              </w:rPr>
              <w:t>RESULTS</w:t>
            </w:r>
          </w:p>
        </w:tc>
      </w:tr>
      <w:tr>
        <w:tc>
          <w:tcPr>
            <w:tcW w:type="dxa" w:w="2268"/>
            <w:tcBorders>
              <w:top w:val="single" w:sz="4" w:color="808080"/>
              <w:left w:val="single" w:sz="4" w:color="808080"/>
              <w:bottom w:val="single" w:sz="4" w:color="808080"/>
              <w:right w:val="single" w:sz="4" w:color="808080"/>
            </w:tcBorders>
            <w:vAlign w:val="top"/>
          </w:tcPr>
          <w:p>
            <w:r>
              <w:rPr>
                <w:rFonts w:ascii="Calibri" w:hAnsi="Calibri" w:eastAsia="Calibri"/>
                <w:b w:val="0"/>
                <w:sz w:val="18"/>
              </w:rPr>
              <w:t>Study selection</w:t>
            </w:r>
          </w:p>
        </w:tc>
        <w:tc>
          <w:tcPr>
            <w:tcW w:type="dxa" w:w="794"/>
            <w:tcBorders>
              <w:top w:val="single" w:sz="4" w:color="808080"/>
              <w:left w:val="single" w:sz="4" w:color="808080"/>
              <w:bottom w:val="single" w:sz="4" w:color="808080"/>
              <w:right w:val="single" w:sz="4" w:color="808080"/>
            </w:tcBorders>
            <w:vAlign w:val="top"/>
          </w:tcPr>
          <w:p>
            <w:pPr>
              <w:jc w:val="center"/>
            </w:pPr>
            <w:r>
              <w:rPr>
                <w:rFonts w:ascii="Calibri" w:hAnsi="Calibri" w:eastAsia="Calibri"/>
                <w:b/>
                <w:sz w:val="18"/>
              </w:rPr>
              <w:t>16a</w:t>
            </w:r>
          </w:p>
        </w:tc>
        <w:tc>
          <w:tcPr>
            <w:tcW w:type="dxa" w:w="5102"/>
            <w:tcBorders>
              <w:top w:val="single" w:sz="4" w:color="808080"/>
              <w:left w:val="single" w:sz="4" w:color="808080"/>
              <w:bottom w:val="single" w:sz="4" w:color="808080"/>
              <w:right w:val="single" w:sz="4" w:color="808080"/>
            </w:tcBorders>
            <w:vAlign w:val="top"/>
          </w:tcPr>
          <w:p>
            <w:r>
              <w:rPr>
                <w:rFonts w:ascii="Calibri" w:hAnsi="Calibri" w:eastAsia="Calibri"/>
                <w:b w:val="0"/>
                <w:sz w:val="18"/>
              </w:rPr>
              <w:t>Describe the results of the search and selection process, from the number of records identified in the search to the number of studies included in the review, ideally using a flow diagram.</w:t>
            </w:r>
          </w:p>
        </w:tc>
        <w:tc>
          <w:tcPr>
            <w:tcW w:type="dxa" w:w="6236"/>
            <w:tcBorders>
              <w:top w:val="single" w:sz="4" w:color="808080"/>
              <w:left w:val="single" w:sz="4" w:color="808080"/>
              <w:bottom w:val="single" w:sz="4" w:color="808080"/>
              <w:right w:val="single" w:sz="4" w:color="808080"/>
            </w:tcBorders>
            <w:vAlign w:val="top"/>
          </w:tcPr>
          <w:p>
            <w:r>
              <w:rPr>
                <w:rFonts w:ascii="Calibri" w:hAnsi="Calibri" w:eastAsia="Calibri"/>
                <w:b w:val="0"/>
                <w:sz w:val="18"/>
              </w:rPr>
              <w:t>Results → “Study Selection” subsection and Figure 1 (PRISMA 2020 flow diagram). Counts: 31 catalogued at full-text → 25 retained for qualitative synthesis → 10 contributing to the primary quantitative achievement pool.</w:t>
            </w:r>
          </w:p>
        </w:tc>
      </w:tr>
      <w:tr>
        <w:tc>
          <w:tcPr>
            <w:tcW w:type="dxa" w:w="2268"/>
            <w:tcBorders>
              <w:top w:val="single" w:sz="4" w:color="808080"/>
              <w:left w:val="single" w:sz="4" w:color="808080"/>
              <w:bottom w:val="single" w:sz="4" w:color="808080"/>
              <w:right w:val="single" w:sz="4" w:color="808080"/>
            </w:tcBorders>
            <w:vAlign w:val="top"/>
          </w:tcPr>
          <w:p>
            <w:r>
              <w:rPr>
                <w:rFonts w:ascii="Calibri" w:hAnsi="Calibri" w:eastAsia="Calibri"/>
                <w:b w:val="0"/>
                <w:sz w:val="18"/>
              </w:rPr>
              <w:t>Study selection</w:t>
            </w:r>
          </w:p>
        </w:tc>
        <w:tc>
          <w:tcPr>
            <w:tcW w:type="dxa" w:w="794"/>
            <w:tcBorders>
              <w:top w:val="single" w:sz="4" w:color="808080"/>
              <w:left w:val="single" w:sz="4" w:color="808080"/>
              <w:bottom w:val="single" w:sz="4" w:color="808080"/>
              <w:right w:val="single" w:sz="4" w:color="808080"/>
            </w:tcBorders>
            <w:vAlign w:val="top"/>
          </w:tcPr>
          <w:p>
            <w:pPr>
              <w:jc w:val="center"/>
            </w:pPr>
            <w:r>
              <w:rPr>
                <w:rFonts w:ascii="Calibri" w:hAnsi="Calibri" w:eastAsia="Calibri"/>
                <w:b/>
                <w:sz w:val="18"/>
              </w:rPr>
              <w:t>16b</w:t>
            </w:r>
          </w:p>
        </w:tc>
        <w:tc>
          <w:tcPr>
            <w:tcW w:type="dxa" w:w="5102"/>
            <w:tcBorders>
              <w:top w:val="single" w:sz="4" w:color="808080"/>
              <w:left w:val="single" w:sz="4" w:color="808080"/>
              <w:bottom w:val="single" w:sz="4" w:color="808080"/>
              <w:right w:val="single" w:sz="4" w:color="808080"/>
            </w:tcBorders>
            <w:vAlign w:val="top"/>
          </w:tcPr>
          <w:p>
            <w:r>
              <w:rPr>
                <w:rFonts w:ascii="Calibri" w:hAnsi="Calibri" w:eastAsia="Calibri"/>
                <w:b w:val="0"/>
                <w:sz w:val="18"/>
              </w:rPr>
              <w:t>Cite studies that might appear to meet the inclusion criteria, but which were excluded, and explain why they were excluded.</w:t>
            </w:r>
          </w:p>
        </w:tc>
        <w:tc>
          <w:tcPr>
            <w:tcW w:type="dxa" w:w="6236"/>
            <w:tcBorders>
              <w:top w:val="single" w:sz="4" w:color="808080"/>
              <w:left w:val="single" w:sz="4" w:color="808080"/>
              <w:bottom w:val="single" w:sz="4" w:color="808080"/>
              <w:right w:val="single" w:sz="4" w:color="808080"/>
            </w:tcBorders>
            <w:vAlign w:val="top"/>
          </w:tcPr>
          <w:p>
            <w:r>
              <w:rPr>
                <w:rFonts w:ascii="Calibri" w:hAnsi="Calibri" w:eastAsia="Calibri"/>
                <w:b w:val="0"/>
                <w:sz w:val="18"/>
              </w:rPr>
              <w:t>Results → “Study Selection” subsection and Table 1 — six post-eligibility exclusions are individually disclosed with reasons (A-09, A-10, A-16: face-to-face on secondary review; A-24: effect size not extractable; A-05: sample overlap with A-04; A-27: PDF unavailable). Five title-stage exclusions for non-Big-Five frameworks (MBTI, Proactive Personality, TAM, TUE) are summarized in the same subsection.</w:t>
            </w:r>
          </w:p>
        </w:tc>
      </w:tr>
      <w:tr>
        <w:tc>
          <w:tcPr>
            <w:tcW w:type="dxa" w:w="2268"/>
            <w:tcBorders>
              <w:top w:val="single" w:sz="4" w:color="808080"/>
              <w:left w:val="single" w:sz="4" w:color="808080"/>
              <w:bottom w:val="single" w:sz="4" w:color="808080"/>
              <w:right w:val="single" w:sz="4" w:color="808080"/>
            </w:tcBorders>
            <w:vAlign w:val="top"/>
          </w:tcPr>
          <w:p>
            <w:r>
              <w:rPr>
                <w:rFonts w:ascii="Calibri" w:hAnsi="Calibri" w:eastAsia="Calibri"/>
                <w:b w:val="0"/>
                <w:sz w:val="18"/>
              </w:rPr>
              <w:t>Study characteristics</w:t>
            </w:r>
          </w:p>
        </w:tc>
        <w:tc>
          <w:tcPr>
            <w:tcW w:type="dxa" w:w="794"/>
            <w:tcBorders>
              <w:top w:val="single" w:sz="4" w:color="808080"/>
              <w:left w:val="single" w:sz="4" w:color="808080"/>
              <w:bottom w:val="single" w:sz="4" w:color="808080"/>
              <w:right w:val="single" w:sz="4" w:color="808080"/>
            </w:tcBorders>
            <w:vAlign w:val="top"/>
          </w:tcPr>
          <w:p>
            <w:pPr>
              <w:jc w:val="center"/>
            </w:pPr>
            <w:r>
              <w:rPr>
                <w:rFonts w:ascii="Calibri" w:hAnsi="Calibri" w:eastAsia="Calibri"/>
                <w:b/>
                <w:sz w:val="18"/>
              </w:rPr>
              <w:t>17</w:t>
            </w:r>
          </w:p>
        </w:tc>
        <w:tc>
          <w:tcPr>
            <w:tcW w:type="dxa" w:w="5102"/>
            <w:tcBorders>
              <w:top w:val="single" w:sz="4" w:color="808080"/>
              <w:left w:val="single" w:sz="4" w:color="808080"/>
              <w:bottom w:val="single" w:sz="4" w:color="808080"/>
              <w:right w:val="single" w:sz="4" w:color="808080"/>
            </w:tcBorders>
            <w:vAlign w:val="top"/>
          </w:tcPr>
          <w:p>
            <w:r>
              <w:rPr>
                <w:rFonts w:ascii="Calibri" w:hAnsi="Calibri" w:eastAsia="Calibri"/>
                <w:b w:val="0"/>
                <w:sz w:val="18"/>
              </w:rPr>
              <w:t>Cite each included study and present its characteristics.</w:t>
            </w:r>
          </w:p>
        </w:tc>
        <w:tc>
          <w:tcPr>
            <w:tcW w:type="dxa" w:w="6236"/>
            <w:tcBorders>
              <w:top w:val="single" w:sz="4" w:color="808080"/>
              <w:left w:val="single" w:sz="4" w:color="808080"/>
              <w:bottom w:val="single" w:sz="4" w:color="808080"/>
              <w:right w:val="single" w:sz="4" w:color="808080"/>
            </w:tcBorders>
            <w:vAlign w:val="top"/>
          </w:tcPr>
          <w:p>
            <w:r>
              <w:rPr>
                <w:rFonts w:ascii="Calibri" w:hAnsi="Calibri" w:eastAsia="Calibri"/>
                <w:b w:val="0"/>
                <w:sz w:val="18"/>
              </w:rPr>
              <w:t>Results → “Characteristics of Included Studies” subsection and Table 1 — full per-study characteristics (sample, country, modality, instrument, outcome, N, year, era).</w:t>
            </w:r>
          </w:p>
        </w:tc>
      </w:tr>
      <w:tr>
        <w:tc>
          <w:tcPr>
            <w:tcW w:type="dxa" w:w="2268"/>
            <w:tcBorders>
              <w:top w:val="single" w:sz="4" w:color="808080"/>
              <w:left w:val="single" w:sz="4" w:color="808080"/>
              <w:bottom w:val="single" w:sz="4" w:color="808080"/>
              <w:right w:val="single" w:sz="4" w:color="808080"/>
            </w:tcBorders>
            <w:vAlign w:val="top"/>
          </w:tcPr>
          <w:p>
            <w:r>
              <w:rPr>
                <w:rFonts w:ascii="Calibri" w:hAnsi="Calibri" w:eastAsia="Calibri"/>
                <w:b w:val="0"/>
                <w:sz w:val="18"/>
              </w:rPr>
              <w:t>Risk of bias in studies</w:t>
            </w:r>
          </w:p>
        </w:tc>
        <w:tc>
          <w:tcPr>
            <w:tcW w:type="dxa" w:w="794"/>
            <w:tcBorders>
              <w:top w:val="single" w:sz="4" w:color="808080"/>
              <w:left w:val="single" w:sz="4" w:color="808080"/>
              <w:bottom w:val="single" w:sz="4" w:color="808080"/>
              <w:right w:val="single" w:sz="4" w:color="808080"/>
            </w:tcBorders>
            <w:vAlign w:val="top"/>
          </w:tcPr>
          <w:p>
            <w:pPr>
              <w:jc w:val="center"/>
            </w:pPr>
            <w:r>
              <w:rPr>
                <w:rFonts w:ascii="Calibri" w:hAnsi="Calibri" w:eastAsia="Calibri"/>
                <w:b/>
                <w:sz w:val="18"/>
              </w:rPr>
              <w:t>18</w:t>
            </w:r>
          </w:p>
        </w:tc>
        <w:tc>
          <w:tcPr>
            <w:tcW w:type="dxa" w:w="5102"/>
            <w:tcBorders>
              <w:top w:val="single" w:sz="4" w:color="808080"/>
              <w:left w:val="single" w:sz="4" w:color="808080"/>
              <w:bottom w:val="single" w:sz="4" w:color="808080"/>
              <w:right w:val="single" w:sz="4" w:color="808080"/>
            </w:tcBorders>
            <w:vAlign w:val="top"/>
          </w:tcPr>
          <w:p>
            <w:r>
              <w:rPr>
                <w:rFonts w:ascii="Calibri" w:hAnsi="Calibri" w:eastAsia="Calibri"/>
                <w:b w:val="0"/>
                <w:sz w:val="18"/>
              </w:rPr>
              <w:t>Present assessments of risk of bias for each included study.</w:t>
            </w:r>
          </w:p>
        </w:tc>
        <w:tc>
          <w:tcPr>
            <w:tcW w:type="dxa" w:w="6236"/>
            <w:tcBorders>
              <w:top w:val="single" w:sz="4" w:color="808080"/>
              <w:left w:val="single" w:sz="4" w:color="808080"/>
              <w:bottom w:val="single" w:sz="4" w:color="808080"/>
              <w:right w:val="single" w:sz="4" w:color="808080"/>
            </w:tcBorders>
            <w:vAlign w:val="top"/>
          </w:tcPr>
          <w:p>
            <w:r>
              <w:rPr>
                <w:rFonts w:ascii="Calibri" w:hAnsi="Calibri" w:eastAsia="Calibri"/>
                <w:b w:val="0"/>
                <w:sz w:val="18"/>
              </w:rPr>
              <w:t>Results → “Risk of Bias Across Included Studies” subsection. Per-study JBI 8-item ratings are deposited as Table S2 (supplementary) on OSF (05_risk_of_bias component, https://doi.org/10.17605/OSF.IO/3XYNE).</w:t>
            </w:r>
          </w:p>
        </w:tc>
      </w:tr>
      <w:tr>
        <w:tc>
          <w:tcPr>
            <w:tcW w:type="dxa" w:w="2268"/>
            <w:tcBorders>
              <w:top w:val="single" w:sz="4" w:color="808080"/>
              <w:left w:val="single" w:sz="4" w:color="808080"/>
              <w:bottom w:val="single" w:sz="4" w:color="808080"/>
              <w:right w:val="single" w:sz="4" w:color="808080"/>
            </w:tcBorders>
            <w:vAlign w:val="top"/>
          </w:tcPr>
          <w:p>
            <w:r>
              <w:rPr>
                <w:rFonts w:ascii="Calibri" w:hAnsi="Calibri" w:eastAsia="Calibri"/>
                <w:b w:val="0"/>
                <w:sz w:val="18"/>
              </w:rPr>
              <w:t>Results of individual studies</w:t>
            </w:r>
          </w:p>
        </w:tc>
        <w:tc>
          <w:tcPr>
            <w:tcW w:type="dxa" w:w="794"/>
            <w:tcBorders>
              <w:top w:val="single" w:sz="4" w:color="808080"/>
              <w:left w:val="single" w:sz="4" w:color="808080"/>
              <w:bottom w:val="single" w:sz="4" w:color="808080"/>
              <w:right w:val="single" w:sz="4" w:color="808080"/>
            </w:tcBorders>
            <w:vAlign w:val="top"/>
          </w:tcPr>
          <w:p>
            <w:pPr>
              <w:jc w:val="center"/>
            </w:pPr>
            <w:r>
              <w:rPr>
                <w:rFonts w:ascii="Calibri" w:hAnsi="Calibri" w:eastAsia="Calibri"/>
                <w:b/>
                <w:sz w:val="18"/>
              </w:rPr>
              <w:t>19</w:t>
            </w:r>
          </w:p>
        </w:tc>
        <w:tc>
          <w:tcPr>
            <w:tcW w:type="dxa" w:w="5102"/>
            <w:tcBorders>
              <w:top w:val="single" w:sz="4" w:color="808080"/>
              <w:left w:val="single" w:sz="4" w:color="808080"/>
              <w:bottom w:val="single" w:sz="4" w:color="808080"/>
              <w:right w:val="single" w:sz="4" w:color="808080"/>
            </w:tcBorders>
            <w:vAlign w:val="top"/>
          </w:tcPr>
          <w:p>
            <w:r>
              <w:rPr>
                <w:rFonts w:ascii="Calibri" w:hAnsi="Calibri" w:eastAsia="Calibri"/>
                <w:b w:val="0"/>
                <w:sz w:val="18"/>
              </w:rPr>
              <w:t>For all outcomes, present, for each study: (a) summary statistics for each group (where appropriate) and (b) an effect estimate and its precision (e.g. confidence/credible interval), ideally using structured tables or plots.</w:t>
            </w:r>
          </w:p>
        </w:tc>
        <w:tc>
          <w:tcPr>
            <w:tcW w:type="dxa" w:w="6236"/>
            <w:tcBorders>
              <w:top w:val="single" w:sz="4" w:color="808080"/>
              <w:left w:val="single" w:sz="4" w:color="808080"/>
              <w:bottom w:val="single" w:sz="4" w:color="808080"/>
              <w:right w:val="single" w:sz="4" w:color="808080"/>
            </w:tcBorders>
            <w:vAlign w:val="top"/>
          </w:tcPr>
          <w:p>
            <w:r>
              <w:rPr>
                <w:rFonts w:ascii="Calibri" w:hAnsi="Calibri" w:eastAsia="Calibri"/>
                <w:b w:val="0"/>
                <w:sz w:val="18"/>
              </w:rPr>
              <w:t>Forest plots (Figures 2–6) display per-study r and 95% CI for each of the five Big Five traits. Per-study extracted statistics are deposited in data_extraction.csv on OSF (04_extraction component, https://doi.org/10.17605/OSF.IO/5UW98).</w:t>
            </w:r>
          </w:p>
        </w:tc>
      </w:tr>
      <w:tr>
        <w:tc>
          <w:tcPr>
            <w:tcW w:type="dxa" w:w="2268"/>
            <w:tcBorders>
              <w:top w:val="single" w:sz="4" w:color="808080"/>
              <w:left w:val="single" w:sz="4" w:color="808080"/>
              <w:bottom w:val="single" w:sz="4" w:color="808080"/>
              <w:right w:val="single" w:sz="4" w:color="808080"/>
            </w:tcBorders>
            <w:vAlign w:val="top"/>
          </w:tcPr>
          <w:p>
            <w:r>
              <w:rPr>
                <w:rFonts w:ascii="Calibri" w:hAnsi="Calibri" w:eastAsia="Calibri"/>
                <w:b w:val="0"/>
                <w:sz w:val="18"/>
              </w:rPr>
              <w:t>Results of syntheses</w:t>
            </w:r>
          </w:p>
        </w:tc>
        <w:tc>
          <w:tcPr>
            <w:tcW w:type="dxa" w:w="794"/>
            <w:tcBorders>
              <w:top w:val="single" w:sz="4" w:color="808080"/>
              <w:left w:val="single" w:sz="4" w:color="808080"/>
              <w:bottom w:val="single" w:sz="4" w:color="808080"/>
              <w:right w:val="single" w:sz="4" w:color="808080"/>
            </w:tcBorders>
            <w:vAlign w:val="top"/>
          </w:tcPr>
          <w:p>
            <w:pPr>
              <w:jc w:val="center"/>
            </w:pPr>
            <w:r>
              <w:rPr>
                <w:rFonts w:ascii="Calibri" w:hAnsi="Calibri" w:eastAsia="Calibri"/>
                <w:b/>
                <w:sz w:val="18"/>
              </w:rPr>
              <w:t>20a</w:t>
            </w:r>
          </w:p>
        </w:tc>
        <w:tc>
          <w:tcPr>
            <w:tcW w:type="dxa" w:w="5102"/>
            <w:tcBorders>
              <w:top w:val="single" w:sz="4" w:color="808080"/>
              <w:left w:val="single" w:sz="4" w:color="808080"/>
              <w:bottom w:val="single" w:sz="4" w:color="808080"/>
              <w:right w:val="single" w:sz="4" w:color="808080"/>
            </w:tcBorders>
            <w:vAlign w:val="top"/>
          </w:tcPr>
          <w:p>
            <w:r>
              <w:rPr>
                <w:rFonts w:ascii="Calibri" w:hAnsi="Calibri" w:eastAsia="Calibri"/>
                <w:b w:val="0"/>
                <w:sz w:val="18"/>
              </w:rPr>
              <w:t>For each synthesis, briefly summarise the characteristics and risk of bias among contributing studies.</w:t>
            </w:r>
          </w:p>
        </w:tc>
        <w:tc>
          <w:tcPr>
            <w:tcW w:type="dxa" w:w="6236"/>
            <w:tcBorders>
              <w:top w:val="single" w:sz="4" w:color="808080"/>
              <w:left w:val="single" w:sz="4" w:color="808080"/>
              <w:bottom w:val="single" w:sz="4" w:color="808080"/>
              <w:right w:val="single" w:sz="4" w:color="808080"/>
            </w:tcBorders>
            <w:vAlign w:val="top"/>
          </w:tcPr>
          <w:p>
            <w:r>
              <w:rPr>
                <w:rFonts w:ascii="Calibri" w:hAnsi="Calibri" w:eastAsia="Calibri"/>
                <w:b w:val="0"/>
                <w:sz w:val="18"/>
              </w:rPr>
              <w:t>Results → “Characteristics of Included Studies,” “Risk of Bias Across Included Studies,” and the trait-specific subsections of “Primary Pooled Effects.”</w:t>
            </w:r>
          </w:p>
        </w:tc>
      </w:tr>
      <w:tr>
        <w:tc>
          <w:tcPr>
            <w:tcW w:type="dxa" w:w="2268"/>
            <w:tcBorders>
              <w:top w:val="single" w:sz="4" w:color="808080"/>
              <w:left w:val="single" w:sz="4" w:color="808080"/>
              <w:bottom w:val="single" w:sz="4" w:color="808080"/>
              <w:right w:val="single" w:sz="4" w:color="808080"/>
            </w:tcBorders>
            <w:vAlign w:val="top"/>
          </w:tcPr>
          <w:p>
            <w:r>
              <w:rPr>
                <w:rFonts w:ascii="Calibri" w:hAnsi="Calibri" w:eastAsia="Calibri"/>
                <w:b w:val="0"/>
                <w:sz w:val="18"/>
              </w:rPr>
              <w:t>Results of syntheses</w:t>
            </w:r>
          </w:p>
        </w:tc>
        <w:tc>
          <w:tcPr>
            <w:tcW w:type="dxa" w:w="794"/>
            <w:tcBorders>
              <w:top w:val="single" w:sz="4" w:color="808080"/>
              <w:left w:val="single" w:sz="4" w:color="808080"/>
              <w:bottom w:val="single" w:sz="4" w:color="808080"/>
              <w:right w:val="single" w:sz="4" w:color="808080"/>
            </w:tcBorders>
            <w:vAlign w:val="top"/>
          </w:tcPr>
          <w:p>
            <w:pPr>
              <w:jc w:val="center"/>
            </w:pPr>
            <w:r>
              <w:rPr>
                <w:rFonts w:ascii="Calibri" w:hAnsi="Calibri" w:eastAsia="Calibri"/>
                <w:b/>
                <w:sz w:val="18"/>
              </w:rPr>
              <w:t>20b</w:t>
            </w:r>
          </w:p>
        </w:tc>
        <w:tc>
          <w:tcPr>
            <w:tcW w:type="dxa" w:w="5102"/>
            <w:tcBorders>
              <w:top w:val="single" w:sz="4" w:color="808080"/>
              <w:left w:val="single" w:sz="4" w:color="808080"/>
              <w:bottom w:val="single" w:sz="4" w:color="808080"/>
              <w:right w:val="single" w:sz="4" w:color="808080"/>
            </w:tcBorders>
            <w:vAlign w:val="top"/>
          </w:tcPr>
          <w:p>
            <w:r>
              <w:rPr>
                <w:rFonts w:ascii="Calibri" w:hAnsi="Calibri" w:eastAsia="Calibri"/>
                <w:b w:val="0"/>
                <w:sz w:val="18"/>
              </w:rPr>
              <w:t>Present results of all statistical syntheses conducted. If meta-analysis was done, present for each the summary estimate and its precision (e.g. confidence/credible interval) and measures of statistical heterogeneity. If comparing groups, describe the direction of the effect.</w:t>
            </w:r>
          </w:p>
        </w:tc>
        <w:tc>
          <w:tcPr>
            <w:tcW w:type="dxa" w:w="6236"/>
            <w:tcBorders>
              <w:top w:val="single" w:sz="4" w:color="808080"/>
              <w:left w:val="single" w:sz="4" w:color="808080"/>
              <w:bottom w:val="single" w:sz="4" w:color="808080"/>
              <w:right w:val="single" w:sz="4" w:color="808080"/>
            </w:tcBorders>
            <w:vAlign w:val="top"/>
          </w:tcPr>
          <w:p>
            <w:r>
              <w:rPr>
                <w:rFonts w:ascii="Calibri" w:hAnsi="Calibri" w:eastAsia="Calibri"/>
                <w:b w:val="0"/>
                <w:sz w:val="18"/>
              </w:rPr>
              <w:t>Results → “Primary Pooled Effects” subsection and Table 2 — pooled r, 95% HKSJ CI, prediction interval, Q, I², τ², τ for each Big Five trait.</w:t>
            </w:r>
          </w:p>
        </w:tc>
      </w:tr>
      <w:tr>
        <w:tc>
          <w:tcPr>
            <w:tcW w:type="dxa" w:w="2268"/>
            <w:tcBorders>
              <w:top w:val="single" w:sz="4" w:color="808080"/>
              <w:left w:val="single" w:sz="4" w:color="808080"/>
              <w:bottom w:val="single" w:sz="4" w:color="808080"/>
              <w:right w:val="single" w:sz="4" w:color="808080"/>
            </w:tcBorders>
            <w:vAlign w:val="top"/>
          </w:tcPr>
          <w:p>
            <w:r>
              <w:rPr>
                <w:rFonts w:ascii="Calibri" w:hAnsi="Calibri" w:eastAsia="Calibri"/>
                <w:b w:val="0"/>
                <w:sz w:val="18"/>
              </w:rPr>
              <w:t>Results of syntheses</w:t>
            </w:r>
          </w:p>
        </w:tc>
        <w:tc>
          <w:tcPr>
            <w:tcW w:type="dxa" w:w="794"/>
            <w:tcBorders>
              <w:top w:val="single" w:sz="4" w:color="808080"/>
              <w:left w:val="single" w:sz="4" w:color="808080"/>
              <w:bottom w:val="single" w:sz="4" w:color="808080"/>
              <w:right w:val="single" w:sz="4" w:color="808080"/>
            </w:tcBorders>
            <w:vAlign w:val="top"/>
          </w:tcPr>
          <w:p>
            <w:pPr>
              <w:jc w:val="center"/>
            </w:pPr>
            <w:r>
              <w:rPr>
                <w:rFonts w:ascii="Calibri" w:hAnsi="Calibri" w:eastAsia="Calibri"/>
                <w:b/>
                <w:sz w:val="18"/>
              </w:rPr>
              <w:t>20c</w:t>
            </w:r>
          </w:p>
        </w:tc>
        <w:tc>
          <w:tcPr>
            <w:tcW w:type="dxa" w:w="5102"/>
            <w:tcBorders>
              <w:top w:val="single" w:sz="4" w:color="808080"/>
              <w:left w:val="single" w:sz="4" w:color="808080"/>
              <w:bottom w:val="single" w:sz="4" w:color="808080"/>
              <w:right w:val="single" w:sz="4" w:color="808080"/>
            </w:tcBorders>
            <w:vAlign w:val="top"/>
          </w:tcPr>
          <w:p>
            <w:r>
              <w:rPr>
                <w:rFonts w:ascii="Calibri" w:hAnsi="Calibri" w:eastAsia="Calibri"/>
                <w:b w:val="0"/>
                <w:sz w:val="18"/>
              </w:rPr>
              <w:t>Present results of all investigations of possible causes of heterogeneity among study results.</w:t>
            </w:r>
          </w:p>
        </w:tc>
        <w:tc>
          <w:tcPr>
            <w:tcW w:type="dxa" w:w="6236"/>
            <w:tcBorders>
              <w:top w:val="single" w:sz="4" w:color="808080"/>
              <w:left w:val="single" w:sz="4" w:color="808080"/>
              <w:bottom w:val="single" w:sz="4" w:color="808080"/>
              <w:right w:val="single" w:sz="4" w:color="808080"/>
            </w:tcBorders>
            <w:vAlign w:val="top"/>
          </w:tcPr>
          <w:p>
            <w:r>
              <w:rPr>
                <w:rFonts w:ascii="Calibri" w:hAnsi="Calibri" w:eastAsia="Calibri"/>
                <w:b w:val="0"/>
                <w:sz w:val="18"/>
              </w:rPr>
              <w:t>Results → “Moderator Analyses” subsection and Table 3 — Q_between, QM, R², and uncorrected/Holm-Bonferroni-corrected p-values for each tested moderator within each trait.</w:t>
            </w:r>
          </w:p>
        </w:tc>
      </w:tr>
      <w:tr>
        <w:tc>
          <w:tcPr>
            <w:tcW w:type="dxa" w:w="2268"/>
            <w:tcBorders>
              <w:top w:val="single" w:sz="4" w:color="808080"/>
              <w:left w:val="single" w:sz="4" w:color="808080"/>
              <w:bottom w:val="single" w:sz="4" w:color="808080"/>
              <w:right w:val="single" w:sz="4" w:color="808080"/>
            </w:tcBorders>
            <w:vAlign w:val="top"/>
          </w:tcPr>
          <w:p>
            <w:r>
              <w:rPr>
                <w:rFonts w:ascii="Calibri" w:hAnsi="Calibri" w:eastAsia="Calibri"/>
                <w:b w:val="0"/>
                <w:sz w:val="18"/>
              </w:rPr>
              <w:t>Results of syntheses</w:t>
            </w:r>
          </w:p>
        </w:tc>
        <w:tc>
          <w:tcPr>
            <w:tcW w:type="dxa" w:w="794"/>
            <w:tcBorders>
              <w:top w:val="single" w:sz="4" w:color="808080"/>
              <w:left w:val="single" w:sz="4" w:color="808080"/>
              <w:bottom w:val="single" w:sz="4" w:color="808080"/>
              <w:right w:val="single" w:sz="4" w:color="808080"/>
            </w:tcBorders>
            <w:vAlign w:val="top"/>
          </w:tcPr>
          <w:p>
            <w:pPr>
              <w:jc w:val="center"/>
            </w:pPr>
            <w:r>
              <w:rPr>
                <w:rFonts w:ascii="Calibri" w:hAnsi="Calibri" w:eastAsia="Calibri"/>
                <w:b/>
                <w:sz w:val="18"/>
              </w:rPr>
              <w:t>20d</w:t>
            </w:r>
          </w:p>
        </w:tc>
        <w:tc>
          <w:tcPr>
            <w:tcW w:type="dxa" w:w="5102"/>
            <w:tcBorders>
              <w:top w:val="single" w:sz="4" w:color="808080"/>
              <w:left w:val="single" w:sz="4" w:color="808080"/>
              <w:bottom w:val="single" w:sz="4" w:color="808080"/>
              <w:right w:val="single" w:sz="4" w:color="808080"/>
            </w:tcBorders>
            <w:vAlign w:val="top"/>
          </w:tcPr>
          <w:p>
            <w:r>
              <w:rPr>
                <w:rFonts w:ascii="Calibri" w:hAnsi="Calibri" w:eastAsia="Calibri"/>
                <w:b w:val="0"/>
                <w:sz w:val="18"/>
              </w:rPr>
              <w:t>Present results of all sensitivity analyses conducted to assess the robustness of the synthesized results.</w:t>
            </w:r>
          </w:p>
        </w:tc>
        <w:tc>
          <w:tcPr>
            <w:tcW w:type="dxa" w:w="6236"/>
            <w:tcBorders>
              <w:top w:val="single" w:sz="4" w:color="808080"/>
              <w:left w:val="single" w:sz="4" w:color="808080"/>
              <w:bottom w:val="single" w:sz="4" w:color="808080"/>
              <w:right w:val="single" w:sz="4" w:color="808080"/>
            </w:tcBorders>
            <w:vAlign w:val="top"/>
          </w:tcPr>
          <w:p>
            <w:r>
              <w:rPr>
                <w:rFonts w:ascii="Calibri" w:hAnsi="Calibri" w:eastAsia="Calibri"/>
                <w:b w:val="0"/>
                <w:sz w:val="18"/>
              </w:rPr>
              <w:t>Results → “Sensitivity and Robustness” subsection and Table 4 — full comparison of pooled r and 95% CI under each of the seven sensitivity specifications (RoB &lt; 5 exclusion, author's-own-study exclusion, converted-effect-size exclusion, small-sample exclusion, HEXACO-mapping variants, leave-one-out, alternative τ² estimator).</w:t>
            </w:r>
          </w:p>
        </w:tc>
      </w:tr>
      <w:tr>
        <w:tc>
          <w:tcPr>
            <w:tcW w:type="dxa" w:w="2268"/>
            <w:tcBorders>
              <w:top w:val="single" w:sz="4" w:color="808080"/>
              <w:left w:val="single" w:sz="4" w:color="808080"/>
              <w:bottom w:val="single" w:sz="4" w:color="808080"/>
              <w:right w:val="single" w:sz="4" w:color="808080"/>
            </w:tcBorders>
            <w:vAlign w:val="top"/>
          </w:tcPr>
          <w:p>
            <w:r>
              <w:rPr>
                <w:rFonts w:ascii="Calibri" w:hAnsi="Calibri" w:eastAsia="Calibri"/>
                <w:b w:val="0"/>
                <w:sz w:val="18"/>
              </w:rPr>
              <w:t>Reporting biases</w:t>
            </w:r>
          </w:p>
        </w:tc>
        <w:tc>
          <w:tcPr>
            <w:tcW w:type="dxa" w:w="794"/>
            <w:tcBorders>
              <w:top w:val="single" w:sz="4" w:color="808080"/>
              <w:left w:val="single" w:sz="4" w:color="808080"/>
              <w:bottom w:val="single" w:sz="4" w:color="808080"/>
              <w:right w:val="single" w:sz="4" w:color="808080"/>
            </w:tcBorders>
            <w:vAlign w:val="top"/>
          </w:tcPr>
          <w:p>
            <w:pPr>
              <w:jc w:val="center"/>
            </w:pPr>
            <w:r>
              <w:rPr>
                <w:rFonts w:ascii="Calibri" w:hAnsi="Calibri" w:eastAsia="Calibri"/>
                <w:b/>
                <w:sz w:val="18"/>
              </w:rPr>
              <w:t>21</w:t>
            </w:r>
          </w:p>
        </w:tc>
        <w:tc>
          <w:tcPr>
            <w:tcW w:type="dxa" w:w="5102"/>
            <w:tcBorders>
              <w:top w:val="single" w:sz="4" w:color="808080"/>
              <w:left w:val="single" w:sz="4" w:color="808080"/>
              <w:bottom w:val="single" w:sz="4" w:color="808080"/>
              <w:right w:val="single" w:sz="4" w:color="808080"/>
            </w:tcBorders>
            <w:vAlign w:val="top"/>
          </w:tcPr>
          <w:p>
            <w:r>
              <w:rPr>
                <w:rFonts w:ascii="Calibri" w:hAnsi="Calibri" w:eastAsia="Calibri"/>
                <w:b w:val="0"/>
                <w:sz w:val="18"/>
              </w:rPr>
              <w:t>Present assessments of risk of bias due to missing results (arising from reporting biases) for each synthesis assessed.</w:t>
            </w:r>
          </w:p>
        </w:tc>
        <w:tc>
          <w:tcPr>
            <w:tcW w:type="dxa" w:w="6236"/>
            <w:tcBorders>
              <w:top w:val="single" w:sz="4" w:color="808080"/>
              <w:left w:val="single" w:sz="4" w:color="808080"/>
              <w:bottom w:val="single" w:sz="4" w:color="808080"/>
              <w:right w:val="single" w:sz="4" w:color="808080"/>
            </w:tcBorders>
            <w:vAlign w:val="top"/>
          </w:tcPr>
          <w:p>
            <w:r>
              <w:rPr>
                <w:rFonts w:ascii="Calibri" w:hAnsi="Calibri" w:eastAsia="Calibri"/>
                <w:b w:val="0"/>
                <w:sz w:val="18"/>
              </w:rPr>
              <w:t>Results → “Publication Bias” subsection — Egger's regression, Peters' regression, trim-and-fill, and p-curve per trait. Funnel plots (Figures 7–11).</w:t>
            </w:r>
          </w:p>
        </w:tc>
      </w:tr>
      <w:tr>
        <w:tc>
          <w:tcPr>
            <w:tcW w:type="dxa" w:w="2268"/>
            <w:tcBorders>
              <w:top w:val="single" w:sz="4" w:color="808080"/>
              <w:left w:val="single" w:sz="4" w:color="808080"/>
              <w:bottom w:val="single" w:sz="4" w:color="808080"/>
              <w:right w:val="single" w:sz="4" w:color="808080"/>
            </w:tcBorders>
            <w:vAlign w:val="top"/>
          </w:tcPr>
          <w:p>
            <w:r>
              <w:rPr>
                <w:rFonts w:ascii="Calibri" w:hAnsi="Calibri" w:eastAsia="Calibri"/>
                <w:b w:val="0"/>
                <w:sz w:val="18"/>
              </w:rPr>
              <w:t>Certainty of evidence</w:t>
            </w:r>
          </w:p>
        </w:tc>
        <w:tc>
          <w:tcPr>
            <w:tcW w:type="dxa" w:w="794"/>
            <w:tcBorders>
              <w:top w:val="single" w:sz="4" w:color="808080"/>
              <w:left w:val="single" w:sz="4" w:color="808080"/>
              <w:bottom w:val="single" w:sz="4" w:color="808080"/>
              <w:right w:val="single" w:sz="4" w:color="808080"/>
            </w:tcBorders>
            <w:vAlign w:val="top"/>
          </w:tcPr>
          <w:p>
            <w:pPr>
              <w:jc w:val="center"/>
            </w:pPr>
            <w:r>
              <w:rPr>
                <w:rFonts w:ascii="Calibri" w:hAnsi="Calibri" w:eastAsia="Calibri"/>
                <w:b/>
                <w:sz w:val="18"/>
              </w:rPr>
              <w:t>22</w:t>
            </w:r>
          </w:p>
        </w:tc>
        <w:tc>
          <w:tcPr>
            <w:tcW w:type="dxa" w:w="5102"/>
            <w:tcBorders>
              <w:top w:val="single" w:sz="4" w:color="808080"/>
              <w:left w:val="single" w:sz="4" w:color="808080"/>
              <w:bottom w:val="single" w:sz="4" w:color="808080"/>
              <w:right w:val="single" w:sz="4" w:color="808080"/>
            </w:tcBorders>
            <w:vAlign w:val="top"/>
          </w:tcPr>
          <w:p>
            <w:r>
              <w:rPr>
                <w:rFonts w:ascii="Calibri" w:hAnsi="Calibri" w:eastAsia="Calibri"/>
                <w:b w:val="0"/>
                <w:sz w:val="18"/>
              </w:rPr>
              <w:t>Present assessments of certainty (or confidence) in the body of evidence for each outcome assessed.</w:t>
            </w:r>
          </w:p>
        </w:tc>
        <w:tc>
          <w:tcPr>
            <w:tcW w:type="dxa" w:w="6236"/>
            <w:tcBorders>
              <w:top w:val="single" w:sz="4" w:color="808080"/>
              <w:left w:val="single" w:sz="4" w:color="808080"/>
              <w:bottom w:val="single" w:sz="4" w:color="808080"/>
              <w:right w:val="single" w:sz="4" w:color="808080"/>
            </w:tcBorders>
            <w:vAlign w:val="top"/>
          </w:tcPr>
          <w:p>
            <w:r>
              <w:rPr>
                <w:rFonts w:ascii="Calibri" w:hAnsi="Calibri" w:eastAsia="Calibri"/>
                <w:b w:val="0"/>
                <w:sz w:val="18"/>
              </w:rPr>
              <w:t>Results → “GRADE Confidence Ratings” subsection and Table 5 — per-trait GRADE rating (Moderate for Conscientiousness and Extraversion; Low for Openness, Agreeableness, Neuroticism) with downgrade rationales.</w:t>
            </w:r>
          </w:p>
        </w:tc>
      </w:tr>
      <w:tr>
        <w:tc>
          <w:tcPr>
            <w:tcW w:type="dxa" w:w="14400"/>
            <w:gridSpan w:val="4"/>
            <w:tcBorders>
              <w:top w:val="single" w:sz="4" w:color="808080"/>
              <w:left w:val="single" w:sz="4" w:color="808080"/>
              <w:bottom w:val="single" w:sz="4" w:color="808080"/>
              <w:right w:val="single" w:sz="4" w:color="808080"/>
            </w:tcBorders>
            <w:shd w:val="clear" w:color="auto" w:fill="F2F2F2"/>
          </w:tcPr>
          <w:p>
            <w:r/>
            <w:r>
              <w:rPr>
                <w:rFonts w:ascii="Calibri" w:hAnsi="Calibri" w:eastAsia="Calibri"/>
                <w:b/>
                <w:sz w:val="20"/>
              </w:rPr>
              <w:t>DISCUSSION</w:t>
            </w:r>
          </w:p>
        </w:tc>
      </w:tr>
      <w:tr>
        <w:tc>
          <w:tcPr>
            <w:tcW w:type="dxa" w:w="2268"/>
            <w:tcBorders>
              <w:top w:val="single" w:sz="4" w:color="808080"/>
              <w:left w:val="single" w:sz="4" w:color="808080"/>
              <w:bottom w:val="single" w:sz="4" w:color="808080"/>
              <w:right w:val="single" w:sz="4" w:color="808080"/>
            </w:tcBorders>
            <w:vAlign w:val="top"/>
          </w:tcPr>
          <w:p>
            <w:r>
              <w:rPr>
                <w:rFonts w:ascii="Calibri" w:hAnsi="Calibri" w:eastAsia="Calibri"/>
                <w:b w:val="0"/>
                <w:sz w:val="18"/>
              </w:rPr>
              <w:t>Discussion</w:t>
            </w:r>
          </w:p>
        </w:tc>
        <w:tc>
          <w:tcPr>
            <w:tcW w:type="dxa" w:w="794"/>
            <w:tcBorders>
              <w:top w:val="single" w:sz="4" w:color="808080"/>
              <w:left w:val="single" w:sz="4" w:color="808080"/>
              <w:bottom w:val="single" w:sz="4" w:color="808080"/>
              <w:right w:val="single" w:sz="4" w:color="808080"/>
            </w:tcBorders>
            <w:vAlign w:val="top"/>
          </w:tcPr>
          <w:p>
            <w:pPr>
              <w:jc w:val="center"/>
            </w:pPr>
            <w:r>
              <w:rPr>
                <w:rFonts w:ascii="Calibri" w:hAnsi="Calibri" w:eastAsia="Calibri"/>
                <w:b/>
                <w:sz w:val="18"/>
              </w:rPr>
              <w:t>23a</w:t>
            </w:r>
          </w:p>
        </w:tc>
        <w:tc>
          <w:tcPr>
            <w:tcW w:type="dxa" w:w="5102"/>
            <w:tcBorders>
              <w:top w:val="single" w:sz="4" w:color="808080"/>
              <w:left w:val="single" w:sz="4" w:color="808080"/>
              <w:bottom w:val="single" w:sz="4" w:color="808080"/>
              <w:right w:val="single" w:sz="4" w:color="808080"/>
            </w:tcBorders>
            <w:vAlign w:val="top"/>
          </w:tcPr>
          <w:p>
            <w:r>
              <w:rPr>
                <w:rFonts w:ascii="Calibri" w:hAnsi="Calibri" w:eastAsia="Calibri"/>
                <w:b w:val="0"/>
                <w:sz w:val="18"/>
              </w:rPr>
              <w:t>Provide a general interpretation of the results in the context of other evidence.</w:t>
            </w:r>
          </w:p>
        </w:tc>
        <w:tc>
          <w:tcPr>
            <w:tcW w:type="dxa" w:w="6236"/>
            <w:tcBorders>
              <w:top w:val="single" w:sz="4" w:color="808080"/>
              <w:left w:val="single" w:sz="4" w:color="808080"/>
              <w:bottom w:val="single" w:sz="4" w:color="808080"/>
              <w:right w:val="single" w:sz="4" w:color="808080"/>
            </w:tcBorders>
            <w:vAlign w:val="top"/>
          </w:tcPr>
          <w:p>
            <w:r>
              <w:rPr>
                <w:rFonts w:ascii="Calibri" w:hAnsi="Calibri" w:eastAsia="Calibri"/>
                <w:b w:val="0"/>
                <w:sz w:val="18"/>
              </w:rPr>
              <w:t>Discussion → “Principal Findings in Context” subsection — interpretation against the eight prior face-to-face meta-analyses and the Personality-Achievement Saturation Hypothesis (PASH).</w:t>
            </w:r>
          </w:p>
        </w:tc>
      </w:tr>
      <w:tr>
        <w:tc>
          <w:tcPr>
            <w:tcW w:type="dxa" w:w="2268"/>
            <w:tcBorders>
              <w:top w:val="single" w:sz="4" w:color="808080"/>
              <w:left w:val="single" w:sz="4" w:color="808080"/>
              <w:bottom w:val="single" w:sz="4" w:color="808080"/>
              <w:right w:val="single" w:sz="4" w:color="808080"/>
            </w:tcBorders>
            <w:vAlign w:val="top"/>
          </w:tcPr>
          <w:p>
            <w:r>
              <w:rPr>
                <w:rFonts w:ascii="Calibri" w:hAnsi="Calibri" w:eastAsia="Calibri"/>
                <w:b w:val="0"/>
                <w:sz w:val="18"/>
              </w:rPr>
              <w:t>Discussion</w:t>
            </w:r>
          </w:p>
        </w:tc>
        <w:tc>
          <w:tcPr>
            <w:tcW w:type="dxa" w:w="794"/>
            <w:tcBorders>
              <w:top w:val="single" w:sz="4" w:color="808080"/>
              <w:left w:val="single" w:sz="4" w:color="808080"/>
              <w:bottom w:val="single" w:sz="4" w:color="808080"/>
              <w:right w:val="single" w:sz="4" w:color="808080"/>
            </w:tcBorders>
            <w:vAlign w:val="top"/>
          </w:tcPr>
          <w:p>
            <w:pPr>
              <w:jc w:val="center"/>
            </w:pPr>
            <w:r>
              <w:rPr>
                <w:rFonts w:ascii="Calibri" w:hAnsi="Calibri" w:eastAsia="Calibri"/>
                <w:b/>
                <w:sz w:val="18"/>
              </w:rPr>
              <w:t>23b</w:t>
            </w:r>
          </w:p>
        </w:tc>
        <w:tc>
          <w:tcPr>
            <w:tcW w:type="dxa" w:w="5102"/>
            <w:tcBorders>
              <w:top w:val="single" w:sz="4" w:color="808080"/>
              <w:left w:val="single" w:sz="4" w:color="808080"/>
              <w:bottom w:val="single" w:sz="4" w:color="808080"/>
              <w:right w:val="single" w:sz="4" w:color="808080"/>
            </w:tcBorders>
            <w:vAlign w:val="top"/>
          </w:tcPr>
          <w:p>
            <w:r>
              <w:rPr>
                <w:rFonts w:ascii="Calibri" w:hAnsi="Calibri" w:eastAsia="Calibri"/>
                <w:b w:val="0"/>
                <w:sz w:val="18"/>
              </w:rPr>
              <w:t>Discuss any limitations of the evidence included in the review.</w:t>
            </w:r>
          </w:p>
        </w:tc>
        <w:tc>
          <w:tcPr>
            <w:tcW w:type="dxa" w:w="6236"/>
            <w:tcBorders>
              <w:top w:val="single" w:sz="4" w:color="808080"/>
              <w:left w:val="single" w:sz="4" w:color="808080"/>
              <w:bottom w:val="single" w:sz="4" w:color="808080"/>
              <w:right w:val="single" w:sz="4" w:color="808080"/>
            </w:tcBorders>
            <w:vAlign w:val="top"/>
          </w:tcPr>
          <w:p>
            <w:r>
              <w:rPr>
                <w:rFonts w:ascii="Calibri" w:hAnsi="Calibri" w:eastAsia="Calibri"/>
                <w:b w:val="0"/>
                <w:sz w:val="18"/>
              </w:rPr>
              <w:t>Discussion → “Limitations of the Evidence Base” subsection.</w:t>
            </w:r>
          </w:p>
        </w:tc>
      </w:tr>
      <w:tr>
        <w:tc>
          <w:tcPr>
            <w:tcW w:type="dxa" w:w="2268"/>
            <w:tcBorders>
              <w:top w:val="single" w:sz="4" w:color="808080"/>
              <w:left w:val="single" w:sz="4" w:color="808080"/>
              <w:bottom w:val="single" w:sz="4" w:color="808080"/>
              <w:right w:val="single" w:sz="4" w:color="808080"/>
            </w:tcBorders>
            <w:vAlign w:val="top"/>
          </w:tcPr>
          <w:p>
            <w:r>
              <w:rPr>
                <w:rFonts w:ascii="Calibri" w:hAnsi="Calibri" w:eastAsia="Calibri"/>
                <w:b w:val="0"/>
                <w:sz w:val="18"/>
              </w:rPr>
              <w:t>Discussion</w:t>
            </w:r>
          </w:p>
        </w:tc>
        <w:tc>
          <w:tcPr>
            <w:tcW w:type="dxa" w:w="794"/>
            <w:tcBorders>
              <w:top w:val="single" w:sz="4" w:color="808080"/>
              <w:left w:val="single" w:sz="4" w:color="808080"/>
              <w:bottom w:val="single" w:sz="4" w:color="808080"/>
              <w:right w:val="single" w:sz="4" w:color="808080"/>
            </w:tcBorders>
            <w:vAlign w:val="top"/>
          </w:tcPr>
          <w:p>
            <w:pPr>
              <w:jc w:val="center"/>
            </w:pPr>
            <w:r>
              <w:rPr>
                <w:rFonts w:ascii="Calibri" w:hAnsi="Calibri" w:eastAsia="Calibri"/>
                <w:b/>
                <w:sz w:val="18"/>
              </w:rPr>
              <w:t>23c</w:t>
            </w:r>
          </w:p>
        </w:tc>
        <w:tc>
          <w:tcPr>
            <w:tcW w:type="dxa" w:w="5102"/>
            <w:tcBorders>
              <w:top w:val="single" w:sz="4" w:color="808080"/>
              <w:left w:val="single" w:sz="4" w:color="808080"/>
              <w:bottom w:val="single" w:sz="4" w:color="808080"/>
              <w:right w:val="single" w:sz="4" w:color="808080"/>
            </w:tcBorders>
            <w:vAlign w:val="top"/>
          </w:tcPr>
          <w:p>
            <w:r>
              <w:rPr>
                <w:rFonts w:ascii="Calibri" w:hAnsi="Calibri" w:eastAsia="Calibri"/>
                <w:b w:val="0"/>
                <w:sz w:val="18"/>
              </w:rPr>
              <w:t>Discuss any limitations of the review processes used.</w:t>
            </w:r>
          </w:p>
        </w:tc>
        <w:tc>
          <w:tcPr>
            <w:tcW w:type="dxa" w:w="6236"/>
            <w:tcBorders>
              <w:top w:val="single" w:sz="4" w:color="808080"/>
              <w:left w:val="single" w:sz="4" w:color="808080"/>
              <w:bottom w:val="single" w:sz="4" w:color="808080"/>
              <w:right w:val="single" w:sz="4" w:color="808080"/>
            </w:tcBorders>
            <w:vAlign w:val="top"/>
          </w:tcPr>
          <w:p>
            <w:r>
              <w:rPr>
                <w:rFonts w:ascii="Calibri" w:hAnsi="Calibri" w:eastAsia="Calibri"/>
                <w:b w:val="0"/>
                <w:sz w:val="18"/>
              </w:rPr>
              <w:t>Discussion → “Limitations of the Review Process” subsection — single-reviewer workflow, search-database access deviation, narrowed moderator set, reliance on grey literature, and language restriction.</w:t>
            </w:r>
          </w:p>
        </w:tc>
      </w:tr>
      <w:tr>
        <w:tc>
          <w:tcPr>
            <w:tcW w:type="dxa" w:w="2268"/>
            <w:tcBorders>
              <w:top w:val="single" w:sz="4" w:color="808080"/>
              <w:left w:val="single" w:sz="4" w:color="808080"/>
              <w:bottom w:val="single" w:sz="4" w:color="808080"/>
              <w:right w:val="single" w:sz="4" w:color="808080"/>
            </w:tcBorders>
            <w:vAlign w:val="top"/>
          </w:tcPr>
          <w:p>
            <w:r>
              <w:rPr>
                <w:rFonts w:ascii="Calibri" w:hAnsi="Calibri" w:eastAsia="Calibri"/>
                <w:b w:val="0"/>
                <w:sz w:val="18"/>
              </w:rPr>
              <w:t>Discussion</w:t>
            </w:r>
          </w:p>
        </w:tc>
        <w:tc>
          <w:tcPr>
            <w:tcW w:type="dxa" w:w="794"/>
            <w:tcBorders>
              <w:top w:val="single" w:sz="4" w:color="808080"/>
              <w:left w:val="single" w:sz="4" w:color="808080"/>
              <w:bottom w:val="single" w:sz="4" w:color="808080"/>
              <w:right w:val="single" w:sz="4" w:color="808080"/>
            </w:tcBorders>
            <w:vAlign w:val="top"/>
          </w:tcPr>
          <w:p>
            <w:pPr>
              <w:jc w:val="center"/>
            </w:pPr>
            <w:r>
              <w:rPr>
                <w:rFonts w:ascii="Calibri" w:hAnsi="Calibri" w:eastAsia="Calibri"/>
                <w:b/>
                <w:sz w:val="18"/>
              </w:rPr>
              <w:t>23d</w:t>
            </w:r>
          </w:p>
        </w:tc>
        <w:tc>
          <w:tcPr>
            <w:tcW w:type="dxa" w:w="5102"/>
            <w:tcBorders>
              <w:top w:val="single" w:sz="4" w:color="808080"/>
              <w:left w:val="single" w:sz="4" w:color="808080"/>
              <w:bottom w:val="single" w:sz="4" w:color="808080"/>
              <w:right w:val="single" w:sz="4" w:color="808080"/>
            </w:tcBorders>
            <w:vAlign w:val="top"/>
          </w:tcPr>
          <w:p>
            <w:r>
              <w:rPr>
                <w:rFonts w:ascii="Calibri" w:hAnsi="Calibri" w:eastAsia="Calibri"/>
                <w:b w:val="0"/>
                <w:sz w:val="18"/>
              </w:rPr>
              <w:t>Discuss implications of the results for practice, policy, and future research.</w:t>
            </w:r>
          </w:p>
        </w:tc>
        <w:tc>
          <w:tcPr>
            <w:tcW w:type="dxa" w:w="6236"/>
            <w:tcBorders>
              <w:top w:val="single" w:sz="4" w:color="808080"/>
              <w:left w:val="single" w:sz="4" w:color="808080"/>
              <w:bottom w:val="single" w:sz="4" w:color="808080"/>
              <w:right w:val="single" w:sz="4" w:color="808080"/>
            </w:tcBorders>
            <w:vAlign w:val="top"/>
          </w:tcPr>
          <w:p>
            <w:r>
              <w:rPr>
                <w:rFonts w:ascii="Calibri" w:hAnsi="Calibri" w:eastAsia="Calibri"/>
                <w:b w:val="0"/>
                <w:sz w:val="18"/>
              </w:rPr>
              <w:t>Discussion → “Implications for Practice and Future Research” subsection and Conclusion.</w:t>
            </w:r>
          </w:p>
        </w:tc>
      </w:tr>
      <w:tr>
        <w:tc>
          <w:tcPr>
            <w:tcW w:type="dxa" w:w="14400"/>
            <w:gridSpan w:val="4"/>
            <w:tcBorders>
              <w:top w:val="single" w:sz="4" w:color="808080"/>
              <w:left w:val="single" w:sz="4" w:color="808080"/>
              <w:bottom w:val="single" w:sz="4" w:color="808080"/>
              <w:right w:val="single" w:sz="4" w:color="808080"/>
            </w:tcBorders>
            <w:shd w:val="clear" w:color="auto" w:fill="F2F2F2"/>
          </w:tcPr>
          <w:p>
            <w:r/>
            <w:r>
              <w:rPr>
                <w:rFonts w:ascii="Calibri" w:hAnsi="Calibri" w:eastAsia="Calibri"/>
                <w:b/>
                <w:sz w:val="20"/>
              </w:rPr>
              <w:t>OTHER INFORMATION</w:t>
            </w:r>
          </w:p>
        </w:tc>
      </w:tr>
      <w:tr>
        <w:tc>
          <w:tcPr>
            <w:tcW w:type="dxa" w:w="2268"/>
            <w:tcBorders>
              <w:top w:val="single" w:sz="4" w:color="808080"/>
              <w:left w:val="single" w:sz="4" w:color="808080"/>
              <w:bottom w:val="single" w:sz="4" w:color="808080"/>
              <w:right w:val="single" w:sz="4" w:color="808080"/>
            </w:tcBorders>
            <w:vAlign w:val="top"/>
          </w:tcPr>
          <w:p>
            <w:r>
              <w:rPr>
                <w:rFonts w:ascii="Calibri" w:hAnsi="Calibri" w:eastAsia="Calibri"/>
                <w:b w:val="0"/>
                <w:sz w:val="18"/>
              </w:rPr>
              <w:t>Registration and protocol</w:t>
            </w:r>
          </w:p>
        </w:tc>
        <w:tc>
          <w:tcPr>
            <w:tcW w:type="dxa" w:w="794"/>
            <w:tcBorders>
              <w:top w:val="single" w:sz="4" w:color="808080"/>
              <w:left w:val="single" w:sz="4" w:color="808080"/>
              <w:bottom w:val="single" w:sz="4" w:color="808080"/>
              <w:right w:val="single" w:sz="4" w:color="808080"/>
            </w:tcBorders>
            <w:vAlign w:val="top"/>
          </w:tcPr>
          <w:p>
            <w:pPr>
              <w:jc w:val="center"/>
            </w:pPr>
            <w:r>
              <w:rPr>
                <w:rFonts w:ascii="Calibri" w:hAnsi="Calibri" w:eastAsia="Calibri"/>
                <w:b/>
                <w:sz w:val="18"/>
              </w:rPr>
              <w:t>24a</w:t>
            </w:r>
          </w:p>
        </w:tc>
        <w:tc>
          <w:tcPr>
            <w:tcW w:type="dxa" w:w="5102"/>
            <w:tcBorders>
              <w:top w:val="single" w:sz="4" w:color="808080"/>
              <w:left w:val="single" w:sz="4" w:color="808080"/>
              <w:bottom w:val="single" w:sz="4" w:color="808080"/>
              <w:right w:val="single" w:sz="4" w:color="808080"/>
            </w:tcBorders>
            <w:vAlign w:val="top"/>
          </w:tcPr>
          <w:p>
            <w:r>
              <w:rPr>
                <w:rFonts w:ascii="Calibri" w:hAnsi="Calibri" w:eastAsia="Calibri"/>
                <w:b w:val="0"/>
                <w:sz w:val="18"/>
              </w:rPr>
              <w:t>Provide registration information for the review, including the register name and registration number, or state that the review was not registered.</w:t>
            </w:r>
          </w:p>
        </w:tc>
        <w:tc>
          <w:tcPr>
            <w:tcW w:type="dxa" w:w="6236"/>
            <w:tcBorders>
              <w:top w:val="single" w:sz="4" w:color="808080"/>
              <w:left w:val="single" w:sz="4" w:color="808080"/>
              <w:bottom w:val="single" w:sz="4" w:color="808080"/>
              <w:right w:val="single" w:sz="4" w:color="808080"/>
            </w:tcBorders>
            <w:vAlign w:val="top"/>
          </w:tcPr>
          <w:p>
            <w:r>
              <w:rPr>
                <w:rFonts w:ascii="Calibri" w:hAnsi="Calibri" w:eastAsia="Calibri"/>
                <w:b w:val="0"/>
                <w:sz w:val="18"/>
              </w:rPr>
              <w:t>Declarations → “Pre-registration”; Author Note; and Methods → “Pre-registration and Reporting Standards.” OSF Registries, https://osf.io/e5w47/, DOI: 10.17605/OSF.IO/E5W47, registered 23 April 2026.</w:t>
            </w:r>
          </w:p>
        </w:tc>
      </w:tr>
      <w:tr>
        <w:tc>
          <w:tcPr>
            <w:tcW w:type="dxa" w:w="2268"/>
            <w:tcBorders>
              <w:top w:val="single" w:sz="4" w:color="808080"/>
              <w:left w:val="single" w:sz="4" w:color="808080"/>
              <w:bottom w:val="single" w:sz="4" w:color="808080"/>
              <w:right w:val="single" w:sz="4" w:color="808080"/>
            </w:tcBorders>
            <w:vAlign w:val="top"/>
          </w:tcPr>
          <w:p>
            <w:r>
              <w:rPr>
                <w:rFonts w:ascii="Calibri" w:hAnsi="Calibri" w:eastAsia="Calibri"/>
                <w:b w:val="0"/>
                <w:sz w:val="18"/>
              </w:rPr>
              <w:t>Registration and protocol</w:t>
            </w:r>
          </w:p>
        </w:tc>
        <w:tc>
          <w:tcPr>
            <w:tcW w:type="dxa" w:w="794"/>
            <w:tcBorders>
              <w:top w:val="single" w:sz="4" w:color="808080"/>
              <w:left w:val="single" w:sz="4" w:color="808080"/>
              <w:bottom w:val="single" w:sz="4" w:color="808080"/>
              <w:right w:val="single" w:sz="4" w:color="808080"/>
            </w:tcBorders>
            <w:vAlign w:val="top"/>
          </w:tcPr>
          <w:p>
            <w:pPr>
              <w:jc w:val="center"/>
            </w:pPr>
            <w:r>
              <w:rPr>
                <w:rFonts w:ascii="Calibri" w:hAnsi="Calibri" w:eastAsia="Calibri"/>
                <w:b/>
                <w:sz w:val="18"/>
              </w:rPr>
              <w:t>24b</w:t>
            </w:r>
          </w:p>
        </w:tc>
        <w:tc>
          <w:tcPr>
            <w:tcW w:type="dxa" w:w="5102"/>
            <w:tcBorders>
              <w:top w:val="single" w:sz="4" w:color="808080"/>
              <w:left w:val="single" w:sz="4" w:color="808080"/>
              <w:bottom w:val="single" w:sz="4" w:color="808080"/>
              <w:right w:val="single" w:sz="4" w:color="808080"/>
            </w:tcBorders>
            <w:vAlign w:val="top"/>
          </w:tcPr>
          <w:p>
            <w:r>
              <w:rPr>
                <w:rFonts w:ascii="Calibri" w:hAnsi="Calibri" w:eastAsia="Calibri"/>
                <w:b w:val="0"/>
                <w:sz w:val="18"/>
              </w:rPr>
              <w:t>Indicate where the review protocol can be accessed, or state that a protocol was not prepared.</w:t>
            </w:r>
          </w:p>
        </w:tc>
        <w:tc>
          <w:tcPr>
            <w:tcW w:type="dxa" w:w="6236"/>
            <w:tcBorders>
              <w:top w:val="single" w:sz="4" w:color="808080"/>
              <w:left w:val="single" w:sz="4" w:color="808080"/>
              <w:bottom w:val="single" w:sz="4" w:color="808080"/>
              <w:right w:val="single" w:sz="4" w:color="808080"/>
            </w:tcBorders>
            <w:vAlign w:val="top"/>
          </w:tcPr>
          <w:p>
            <w:r>
              <w:rPr>
                <w:rFonts w:ascii="Calibri" w:hAnsi="Calibri" w:eastAsia="Calibri"/>
                <w:b w:val="0"/>
                <w:sz w:val="18"/>
              </w:rPr>
              <w:t>Declarations → “Pre-registration” and “Availability of data and material”; Methods → “Pre-registration and Reporting Standards.” Protocol deposited at https://doi.org/10.17605/OSF.IO/7FRGH (01_protocol component).</w:t>
            </w:r>
          </w:p>
        </w:tc>
      </w:tr>
      <w:tr>
        <w:tc>
          <w:tcPr>
            <w:tcW w:type="dxa" w:w="2268"/>
            <w:tcBorders>
              <w:top w:val="single" w:sz="4" w:color="808080"/>
              <w:left w:val="single" w:sz="4" w:color="808080"/>
              <w:bottom w:val="single" w:sz="4" w:color="808080"/>
              <w:right w:val="single" w:sz="4" w:color="808080"/>
            </w:tcBorders>
            <w:vAlign w:val="top"/>
          </w:tcPr>
          <w:p>
            <w:r>
              <w:rPr>
                <w:rFonts w:ascii="Calibri" w:hAnsi="Calibri" w:eastAsia="Calibri"/>
                <w:b w:val="0"/>
                <w:sz w:val="18"/>
              </w:rPr>
              <w:t>Registration and protocol</w:t>
            </w:r>
          </w:p>
        </w:tc>
        <w:tc>
          <w:tcPr>
            <w:tcW w:type="dxa" w:w="794"/>
            <w:tcBorders>
              <w:top w:val="single" w:sz="4" w:color="808080"/>
              <w:left w:val="single" w:sz="4" w:color="808080"/>
              <w:bottom w:val="single" w:sz="4" w:color="808080"/>
              <w:right w:val="single" w:sz="4" w:color="808080"/>
            </w:tcBorders>
            <w:vAlign w:val="top"/>
          </w:tcPr>
          <w:p>
            <w:pPr>
              <w:jc w:val="center"/>
            </w:pPr>
            <w:r>
              <w:rPr>
                <w:rFonts w:ascii="Calibri" w:hAnsi="Calibri" w:eastAsia="Calibri"/>
                <w:b/>
                <w:sz w:val="18"/>
              </w:rPr>
              <w:t>24c</w:t>
            </w:r>
          </w:p>
        </w:tc>
        <w:tc>
          <w:tcPr>
            <w:tcW w:type="dxa" w:w="5102"/>
            <w:tcBorders>
              <w:top w:val="single" w:sz="4" w:color="808080"/>
              <w:left w:val="single" w:sz="4" w:color="808080"/>
              <w:bottom w:val="single" w:sz="4" w:color="808080"/>
              <w:right w:val="single" w:sz="4" w:color="808080"/>
            </w:tcBorders>
            <w:vAlign w:val="top"/>
          </w:tcPr>
          <w:p>
            <w:r>
              <w:rPr>
                <w:rFonts w:ascii="Calibri" w:hAnsi="Calibri" w:eastAsia="Calibri"/>
                <w:b w:val="0"/>
                <w:sz w:val="18"/>
              </w:rPr>
              <w:t>Describe and explain any amendments to information provided at registration or in the protocol.</w:t>
            </w:r>
          </w:p>
        </w:tc>
        <w:tc>
          <w:tcPr>
            <w:tcW w:type="dxa" w:w="6236"/>
            <w:tcBorders>
              <w:top w:val="single" w:sz="4" w:color="808080"/>
              <w:left w:val="single" w:sz="4" w:color="808080"/>
              <w:bottom w:val="single" w:sz="4" w:color="808080"/>
              <w:right w:val="single" w:sz="4" w:color="808080"/>
            </w:tcBorders>
            <w:vAlign w:val="top"/>
          </w:tcPr>
          <w:p>
            <w:r>
              <w:rPr>
                <w:rFonts w:ascii="Calibri" w:hAnsi="Calibri" w:eastAsia="Calibri"/>
                <w:b w:val="0"/>
                <w:sz w:val="18"/>
              </w:rPr>
              <w:t>Methods → “Deviations from the Pre-registered Protocol” subsection — three deviations are itemized (search-database access, moderator quantitative-vs-narrative reduction with k-per-level documentation, post-registration addition of Chen et al. 2025 to the benchmark corpus only, not the synthesis pool).</w:t>
            </w:r>
          </w:p>
        </w:tc>
      </w:tr>
      <w:tr>
        <w:tc>
          <w:tcPr>
            <w:tcW w:type="dxa" w:w="2268"/>
            <w:tcBorders>
              <w:top w:val="single" w:sz="4" w:color="808080"/>
              <w:left w:val="single" w:sz="4" w:color="808080"/>
              <w:bottom w:val="single" w:sz="4" w:color="808080"/>
              <w:right w:val="single" w:sz="4" w:color="808080"/>
            </w:tcBorders>
            <w:vAlign w:val="top"/>
          </w:tcPr>
          <w:p>
            <w:r>
              <w:rPr>
                <w:rFonts w:ascii="Calibri" w:hAnsi="Calibri" w:eastAsia="Calibri"/>
                <w:b w:val="0"/>
                <w:sz w:val="18"/>
              </w:rPr>
              <w:t>Support</w:t>
            </w:r>
          </w:p>
        </w:tc>
        <w:tc>
          <w:tcPr>
            <w:tcW w:type="dxa" w:w="794"/>
            <w:tcBorders>
              <w:top w:val="single" w:sz="4" w:color="808080"/>
              <w:left w:val="single" w:sz="4" w:color="808080"/>
              <w:bottom w:val="single" w:sz="4" w:color="808080"/>
              <w:right w:val="single" w:sz="4" w:color="808080"/>
            </w:tcBorders>
            <w:vAlign w:val="top"/>
          </w:tcPr>
          <w:p>
            <w:pPr>
              <w:jc w:val="center"/>
            </w:pPr>
            <w:r>
              <w:rPr>
                <w:rFonts w:ascii="Calibri" w:hAnsi="Calibri" w:eastAsia="Calibri"/>
                <w:b/>
                <w:sz w:val="18"/>
              </w:rPr>
              <w:t>25</w:t>
            </w:r>
          </w:p>
        </w:tc>
        <w:tc>
          <w:tcPr>
            <w:tcW w:type="dxa" w:w="5102"/>
            <w:tcBorders>
              <w:top w:val="single" w:sz="4" w:color="808080"/>
              <w:left w:val="single" w:sz="4" w:color="808080"/>
              <w:bottom w:val="single" w:sz="4" w:color="808080"/>
              <w:right w:val="single" w:sz="4" w:color="808080"/>
            </w:tcBorders>
            <w:vAlign w:val="top"/>
          </w:tcPr>
          <w:p>
            <w:r>
              <w:rPr>
                <w:rFonts w:ascii="Calibri" w:hAnsi="Calibri" w:eastAsia="Calibri"/>
                <w:b w:val="0"/>
                <w:sz w:val="18"/>
              </w:rPr>
              <w:t>Describe sources of financial or non-financial support for the review, and the role of the funders or sponsors in the review.</w:t>
            </w:r>
          </w:p>
        </w:tc>
        <w:tc>
          <w:tcPr>
            <w:tcW w:type="dxa" w:w="6236"/>
            <w:tcBorders>
              <w:top w:val="single" w:sz="4" w:color="808080"/>
              <w:left w:val="single" w:sz="4" w:color="808080"/>
              <w:bottom w:val="single" w:sz="4" w:color="808080"/>
              <w:right w:val="single" w:sz="4" w:color="808080"/>
            </w:tcBorders>
            <w:vAlign w:val="top"/>
          </w:tcPr>
          <w:p>
            <w:r>
              <w:rPr>
                <w:rFonts w:ascii="Calibri" w:hAnsi="Calibri" w:eastAsia="Calibri"/>
                <w:b w:val="0"/>
                <w:sz w:val="18"/>
              </w:rPr>
              <w:t>Declarations → “Funding”; cover letter. No external funding.</w:t>
            </w:r>
          </w:p>
        </w:tc>
      </w:tr>
      <w:tr>
        <w:tc>
          <w:tcPr>
            <w:tcW w:type="dxa" w:w="2268"/>
            <w:tcBorders>
              <w:top w:val="single" w:sz="4" w:color="808080"/>
              <w:left w:val="single" w:sz="4" w:color="808080"/>
              <w:bottom w:val="single" w:sz="4" w:color="808080"/>
              <w:right w:val="single" w:sz="4" w:color="808080"/>
            </w:tcBorders>
            <w:vAlign w:val="top"/>
          </w:tcPr>
          <w:p>
            <w:r>
              <w:rPr>
                <w:rFonts w:ascii="Calibri" w:hAnsi="Calibri" w:eastAsia="Calibri"/>
                <w:b w:val="0"/>
                <w:sz w:val="18"/>
              </w:rPr>
              <w:t>Competing interests</w:t>
            </w:r>
          </w:p>
        </w:tc>
        <w:tc>
          <w:tcPr>
            <w:tcW w:type="dxa" w:w="794"/>
            <w:tcBorders>
              <w:top w:val="single" w:sz="4" w:color="808080"/>
              <w:left w:val="single" w:sz="4" w:color="808080"/>
              <w:bottom w:val="single" w:sz="4" w:color="808080"/>
              <w:right w:val="single" w:sz="4" w:color="808080"/>
            </w:tcBorders>
            <w:vAlign w:val="top"/>
          </w:tcPr>
          <w:p>
            <w:pPr>
              <w:jc w:val="center"/>
            </w:pPr>
            <w:r>
              <w:rPr>
                <w:rFonts w:ascii="Calibri" w:hAnsi="Calibri" w:eastAsia="Calibri"/>
                <w:b/>
                <w:sz w:val="18"/>
              </w:rPr>
              <w:t>26</w:t>
            </w:r>
          </w:p>
        </w:tc>
        <w:tc>
          <w:tcPr>
            <w:tcW w:type="dxa" w:w="5102"/>
            <w:tcBorders>
              <w:top w:val="single" w:sz="4" w:color="808080"/>
              <w:left w:val="single" w:sz="4" w:color="808080"/>
              <w:bottom w:val="single" w:sz="4" w:color="808080"/>
              <w:right w:val="single" w:sz="4" w:color="808080"/>
            </w:tcBorders>
            <w:vAlign w:val="top"/>
          </w:tcPr>
          <w:p>
            <w:r>
              <w:rPr>
                <w:rFonts w:ascii="Calibri" w:hAnsi="Calibri" w:eastAsia="Calibri"/>
                <w:b w:val="0"/>
                <w:sz w:val="18"/>
              </w:rPr>
              <w:t>Declare any competing interests of review authors.</w:t>
            </w:r>
          </w:p>
        </w:tc>
        <w:tc>
          <w:tcPr>
            <w:tcW w:type="dxa" w:w="6236"/>
            <w:tcBorders>
              <w:top w:val="single" w:sz="4" w:color="808080"/>
              <w:left w:val="single" w:sz="4" w:color="808080"/>
              <w:bottom w:val="single" w:sz="4" w:color="808080"/>
              <w:right w:val="single" w:sz="4" w:color="808080"/>
            </w:tcBorders>
            <w:vAlign w:val="top"/>
          </w:tcPr>
          <w:p>
            <w:r>
              <w:rPr>
                <w:rFonts w:ascii="Calibri" w:hAnsi="Calibri" w:eastAsia="Calibri"/>
                <w:b w:val="0"/>
                <w:sz w:val="18"/>
              </w:rPr>
              <w:t>Declarations → “Conflict of Interest”; Declaration of Interest Statement (separate file); cover letter. One author-own primary study (Tokiwa, 2025) is potentially eligible; addressed by a pre-specified sensitivity analysis (|Δr| &lt; .001 across traits).</w:t>
            </w:r>
          </w:p>
        </w:tc>
      </w:tr>
      <w:tr>
        <w:tc>
          <w:tcPr>
            <w:tcW w:type="dxa" w:w="2268"/>
            <w:tcBorders>
              <w:top w:val="single" w:sz="4" w:color="808080"/>
              <w:left w:val="single" w:sz="4" w:color="808080"/>
              <w:bottom w:val="single" w:sz="4" w:color="808080"/>
              <w:right w:val="single" w:sz="4" w:color="808080"/>
            </w:tcBorders>
            <w:vAlign w:val="top"/>
          </w:tcPr>
          <w:p>
            <w:r>
              <w:rPr>
                <w:rFonts w:ascii="Calibri" w:hAnsi="Calibri" w:eastAsia="Calibri"/>
                <w:b w:val="0"/>
                <w:sz w:val="18"/>
              </w:rPr>
              <w:t>Availability of data, code and other materials</w:t>
            </w:r>
          </w:p>
        </w:tc>
        <w:tc>
          <w:tcPr>
            <w:tcW w:type="dxa" w:w="794"/>
            <w:tcBorders>
              <w:top w:val="single" w:sz="4" w:color="808080"/>
              <w:left w:val="single" w:sz="4" w:color="808080"/>
              <w:bottom w:val="single" w:sz="4" w:color="808080"/>
              <w:right w:val="single" w:sz="4" w:color="808080"/>
            </w:tcBorders>
            <w:vAlign w:val="top"/>
          </w:tcPr>
          <w:p>
            <w:pPr>
              <w:jc w:val="center"/>
            </w:pPr>
            <w:r>
              <w:rPr>
                <w:rFonts w:ascii="Calibri" w:hAnsi="Calibri" w:eastAsia="Calibri"/>
                <w:b/>
                <w:sz w:val="18"/>
              </w:rPr>
              <w:t>27</w:t>
            </w:r>
          </w:p>
        </w:tc>
        <w:tc>
          <w:tcPr>
            <w:tcW w:type="dxa" w:w="5102"/>
            <w:tcBorders>
              <w:top w:val="single" w:sz="4" w:color="808080"/>
              <w:left w:val="single" w:sz="4" w:color="808080"/>
              <w:bottom w:val="single" w:sz="4" w:color="808080"/>
              <w:right w:val="single" w:sz="4" w:color="808080"/>
            </w:tcBorders>
            <w:vAlign w:val="top"/>
          </w:tcPr>
          <w:p>
            <w:r>
              <w:rPr>
                <w:rFonts w:ascii="Calibri" w:hAnsi="Calibri" w:eastAsia="Calibri"/>
                <w:b w:val="0"/>
                <w:sz w:val="18"/>
              </w:rPr>
              <w:t>Report which of the following are publicly available and where they can be found: template data collection forms; data extracted from included studies; data used for all analyses; analytic code; any other materials used in the review.</w:t>
            </w:r>
          </w:p>
        </w:tc>
        <w:tc>
          <w:tcPr>
            <w:tcW w:type="dxa" w:w="6236"/>
            <w:tcBorders>
              <w:top w:val="single" w:sz="4" w:color="808080"/>
              <w:left w:val="single" w:sz="4" w:color="808080"/>
              <w:bottom w:val="single" w:sz="4" w:color="808080"/>
              <w:right w:val="single" w:sz="4" w:color="808080"/>
            </w:tcBorders>
            <w:vAlign w:val="top"/>
          </w:tcPr>
          <w:p>
            <w:r>
              <w:rPr>
                <w:rFonts w:ascii="Calibri" w:hAnsi="Calibri" w:eastAsia="Calibri"/>
                <w:b w:val="0"/>
                <w:sz w:val="18"/>
              </w:rPr>
              <w:t>Declarations → “Availability of data and material”; Methods → “Software and Reproducibility.” All materials are deposited on the OSF project (https://doi.org/10.17605/OSF.IO/79M5J) across seven DOI-tagged components: 01_protocol, 02_search, 03_screening, 04_extraction, 05_risk_of_bias, 06_analysis, 07_pdf_index. Version-controlled mirror at https://github.com/etoki/paper.</w:t>
            </w:r>
          </w:p>
        </w:tc>
      </w:tr>
    </w:tbl>
    <w:p/>
    <w:p>
      <w:pPr>
        <w:spacing w:before="120"/>
      </w:pPr>
      <w:r>
        <w:rPr>
          <w:rFonts w:ascii="Calibri" w:hAnsi="Calibri" w:eastAsia="Calibri"/>
          <w:b w:val="0"/>
          <w:sz w:val="18"/>
        </w:rPr>
        <w:t>Page numbers are not used because they shift between the journal-formatted PDF and the reviewer (double-spaced) PDF; locations are referenced by section and subsection headings instead. The full PRISMA 2020 statement and Explanation &amp; Elaboration document are available at https://www.prisma-statement.org.</w:t>
      </w:r>
    </w:p>
    <w:sectPr w:rsidR="00FC693F" w:rsidRPr="0006063C" w:rsidSect="00034616">
      <w:pgSz w:w="15840" w:h="12240"/>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