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sz w:val="32"/>
        </w:rPr>
        <w:t>PRISMA 2020 Checklist</w:t>
      </w:r>
    </w:p>
    <w:p>
      <w:pPr>
        <w:spacing w:after="80"/>
        <w:jc w:val="center"/>
      </w:pPr>
      <w:r>
        <w:rPr>
          <w:rFonts w:ascii="Calibri" w:hAnsi="Calibri" w:eastAsia="Calibri"/>
          <w:b w:val="0"/>
          <w:sz w:val="22"/>
        </w:rPr>
        <w:t>Big Five Personality Traits and Academic Achievement in Online Learning Environments: A Systematic Review and Meta-Analysis</w:t>
      </w:r>
    </w:p>
    <w:p>
      <w:pPr>
        <w:spacing w:after="200"/>
        <w:jc w:val="center"/>
      </w:pPr>
      <w:r>
        <w:rPr>
          <w:rFonts w:ascii="Calibri" w:hAnsi="Calibri" w:eastAsia="Calibri"/>
          <w:b w:val="0"/>
          <w:sz w:val="18"/>
        </w:rPr>
        <w:t>Adapted from Page, M. J., McKenzie, J. E., Bossuyt, P. M., Boutron, I., Hoffmann, T. C., Mulrow, C. D., et al. (2021). The PRISMA 2020 statement: an updated guideline for reporting systematic reviews. BMJ, 372, n71. doi: 10.1136/bmj.n71. Companion PRISMA 2020 Abstract checklist content is integrated into the structured Abstract of the manuscript.</w:t>
      </w:r>
    </w:p>
    <w:tbl>
      <w:tblPr>
        <w:tblW w:type="auto" w:w="0"/>
        <w:tblLayout w:type="fixed"/>
        <w:tblLook w:firstColumn="1" w:firstRow="1" w:lastColumn="0" w:lastRow="0" w:noHBand="0" w:noVBand="1" w:val="04A0"/>
      </w:tblPr>
      <w:tblGrid>
        <w:gridCol w:w="3450"/>
        <w:gridCol w:w="3450"/>
        <w:gridCol w:w="3450"/>
        <w:gridCol w:w="3450"/>
      </w:tblGrid>
      <w:tr>
        <w:tc>
          <w:tcPr>
            <w:tcW w:type="dxa" w:w="2268"/>
            <w:vAlign w:val="center"/>
            <w:shd w:val="clear" w:color="auto" w:fill="D9D9D9"/>
            <w:tcBorders>
              <w:top w:val="single" w:sz="4" w:color="808080"/>
              <w:left w:val="single" w:sz="4" w:color="808080"/>
              <w:bottom w:val="single" w:sz="4" w:color="808080"/>
              <w:right w:val="single" w:sz="4" w:color="808080"/>
            </w:tcBorders>
          </w:tcPr>
          <w:p>
            <w:pPr>
              <w:jc w:val="left"/>
            </w:pPr>
            <w:r/>
            <w:r>
              <w:rPr>
                <w:rFonts w:ascii="Calibri" w:hAnsi="Calibri" w:eastAsia="Calibri"/>
                <w:b/>
                <w:sz w:val="20"/>
              </w:rPr>
              <w:t>Section / Topic</w:t>
            </w:r>
          </w:p>
        </w:tc>
        <w:tc>
          <w:tcPr>
            <w:tcW w:type="dxa" w:w="794"/>
            <w:vAlign w:val="center"/>
            <w:shd w:val="clear" w:color="auto" w:fill="D9D9D9"/>
            <w:tcBorders>
              <w:top w:val="single" w:sz="4" w:color="808080"/>
              <w:left w:val="single" w:sz="4" w:color="808080"/>
              <w:bottom w:val="single" w:sz="4" w:color="808080"/>
              <w:right w:val="single" w:sz="4" w:color="808080"/>
            </w:tcBorders>
          </w:tcPr>
          <w:p>
            <w:pPr>
              <w:jc w:val="left"/>
            </w:pPr>
            <w:r/>
            <w:r>
              <w:rPr>
                <w:rFonts w:ascii="Calibri" w:hAnsi="Calibri" w:eastAsia="Calibri"/>
                <w:b/>
                <w:sz w:val="20"/>
              </w:rPr>
              <w:t>#</w:t>
            </w:r>
          </w:p>
        </w:tc>
        <w:tc>
          <w:tcPr>
            <w:tcW w:type="dxa" w:w="5102"/>
            <w:vAlign w:val="center"/>
            <w:shd w:val="clear" w:color="auto" w:fill="D9D9D9"/>
            <w:tcBorders>
              <w:top w:val="single" w:sz="4" w:color="808080"/>
              <w:left w:val="single" w:sz="4" w:color="808080"/>
              <w:bottom w:val="single" w:sz="4" w:color="808080"/>
              <w:right w:val="single" w:sz="4" w:color="808080"/>
            </w:tcBorders>
          </w:tcPr>
          <w:p>
            <w:pPr>
              <w:jc w:val="left"/>
            </w:pPr>
            <w:r/>
            <w:r>
              <w:rPr>
                <w:rFonts w:ascii="Calibri" w:hAnsi="Calibri" w:eastAsia="Calibri"/>
                <w:b/>
                <w:sz w:val="20"/>
              </w:rPr>
              <w:t>Checklist item</w:t>
            </w:r>
          </w:p>
        </w:tc>
        <w:tc>
          <w:tcPr>
            <w:tcW w:type="dxa" w:w="6236"/>
            <w:vAlign w:val="center"/>
            <w:shd w:val="clear" w:color="auto" w:fill="D9D9D9"/>
            <w:tcBorders>
              <w:top w:val="single" w:sz="4" w:color="808080"/>
              <w:left w:val="single" w:sz="4" w:color="808080"/>
              <w:bottom w:val="single" w:sz="4" w:color="808080"/>
              <w:right w:val="single" w:sz="4" w:color="808080"/>
            </w:tcBorders>
          </w:tcPr>
          <w:p>
            <w:pPr>
              <w:jc w:val="left"/>
            </w:pPr>
            <w:r/>
            <w:r>
              <w:rPr>
                <w:rFonts w:ascii="Calibri" w:hAnsi="Calibri" w:eastAsia="Calibri"/>
                <w:b/>
                <w:sz w:val="20"/>
              </w:rPr>
              <w:t>Location where item is reported</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TITLE</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Title</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Identify the report as a systematic review.</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Title page — title explicitly identifies the report as “A Systematic Review and Meta-Analysis.”</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ABSTRACT</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Abstract</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See the PRISMA 2020 for Abstracts checklist.</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Abstract section — structured abstract reports background, methods (PRISMA 2020 compliance, REML/HKSJ random-effects synthesis, JBI risk of bias, GRADE), results (k = 25 qualitative / 10 quantitative; pooled N = 3,384; trait-by-trait pooled r and 95% CI; two pre-registered moderator effects), and conclusions. Pre-registration DOI is referenced in the Author Note and Declarations.</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INTRODUCTION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Rationale</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3</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the rationale for the review in the context of existing knowledge.</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Introduction → “Personality and Academic Achievement in Face-to-Face Contexts” and “The Shift to Online Learning Environments” subsections. Eight prior meta-analyses (Poropat 2009 through Chen et al. 2025) are summarized; the absence of an online-modality moderator is the stated gap.</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Objectives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4</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Provide an explicit statement of the objective(s) or question(s) the review addresses.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Introduction → “The Present Review” subsection — five pre-registered research questions (RQ1–RQ5) and the PICOS framework are stated explicitly.</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METHODS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Eligibility criteria</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5</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the inclusion and exclusion criteria for the review and how studies were grouped for the syntheses.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“Eligibility Criteria” subsection — full PICOS eligibility rules, including population, exposure (Big Five / HEXACO instruments), comparator, primary and secondary outcomes, study design, and publication-type restrictions. Grouping for synthesis is by Big Five trait.</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Information sources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6</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all databases, registers, websites, organisations, reference lists and other sources searched or consulted to identify studies. Specify the date when each source was last searched or consulted.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“Information Sources and Search Strategy” subsection — six pre-registered databases (PubMed/MEDLINE, PsycINFO, ERIC, Web of Science, Scopus, ProQuest), Google Scholar, and forward/backward citation snowballing. The protocol-level access deviation and mitigation are disclosed; full search log with execution dates is deposited at [OSF search DOI — provided post-acceptance].</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Search strategy</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7</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the full search strategies for all databases, registers and websites, including any filters and limits used.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“Information Sources and Search Strategy” subsection — the three-concept Boolean strategy (personality × online learning × academic outcome) is reproduced in full. The complete query syntax, filters, and per-source hit counts are deposited as search_log.md on OSF (02_search component, [OSF search DOI — provided post-acceptance]).</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Selection process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8</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“Study Selection” subsection — single reviewer (the author) under a pre-specified intra-rater reliability protocol with 10% (title/abstract) and 20% (full-text) re-screening after a ≥7-day wash-out, target Cohen's κ ≥ 0.80; Zotero used for de-duplication. The single-reviewer deviation is transparently disclosed.</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Data collection process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9</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“Data Extraction” subsection — single reviewer extraction with 10% double-extraction and target ICC(2,1) ≥ 0.90 / κ ≥ 0.80. Author-contact protocol (up to two attempts, ≥2-week interval) for missing statistics. No automation tools.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Data items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10a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“Eligibility Criteria” and “Data Extraction” subsections — primary outcome (academic achievement: GPA, course grade, exam, composite); secondary outcomes (satisfaction, engagement, learning behavior, dropout/persistence). For multi-result studies, the most inclusive effect size was retained in the primary pool, with sensitivity analysis using RVE / three-level models.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Data items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10b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List and define all other variables for which data were sought (e.g. participant and intervention characteristics, funding sources). Describe any assumptions made about any missing or unclear information.</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“Data Extraction” subsection — full extraction-form specification (sample, learning context, personality measurement, outcome measurement, effect-size statistics). Missing-information policy: corresponding-author contact, conversion rules where possible, otherwise exclusion with logged reason.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Study risk of bias assessment</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11</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“Risk of Bias Assessment” subsection — Joanna Briggs Institute (JBI) Critical Appraisal Checklist for Analytical Cross-Sectional Studies, 8 items, single reviewer with 20% re-assessment, target κ ≥ 0.80. No automation.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Effect measures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12</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for each outcome the effect measure(s) (e.g. risk ratio, mean difference) used in the synthesis or presentation of results.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“Effect Size Metric and Transformations” subsection — Pearson r as the primary metric; analyses on the Fisher z scale with back-transformation to r for reporting. Conversion rules for β, d, η², F, and t are pre-specified.</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the processes used to decide which studies were eligible for each synthesis (e.g. tabulating the study intervention characteristics and comparing against the planned groups for each synthesis).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“Eligibility Criteria,” “Study Selection,” and “Statistical Analysis and Synthesis Strategy” subsections; Table 1 catalogues all 31 records with eligibility, retention, and trait-by-trait contribution.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required to prepare the data for presentation or synthesis, such as handling of missing summary statistics, or data conversions.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“Effect Size Metric and Transformations” subsection — Fisher z transformation, conversion of β / d / η² / F / t to r, Neuroticism sign alignment for Emotional Stability reports, and the HEXACO-to-Big-Five crosswalk (Ashton &amp; Lee, 2007) with sensitivity variants.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13c</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used to tabulate or visually display results of individual studies and syntheses.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“Statistical Analysis and Synthesis Strategy” and “Publication Bias” subsections — forest plots (Figures 2–6), funnel plots (Figures 7–11), and tables (Tables 1–5). Visualizations produced in ggplot2.</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13d</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“Statistical Analysis and Synthesis Strategy” subsection — random-effects meta-analysis with REML τ² estimation, Hartung-Knapp-Sidik-Jonkman 95% CI adjustment, Cochran's Q, I², τ², τ, 95% prediction intervals. Software: R ≥ 4.3.0 with metafor, clubSandwich, dmetar, ggplot2 (deposited renv.lock and sessionInfo on OSF).</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13e</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used to explore possible causes of heterogeneity among study results (e.g. subgroup analysis, meta-regression).</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“Moderator and Sensitivity Analyses” subsection — nine pre-specified moderators (5 categorical: modality, education level, region, era, outcome type, instrument; 3 continuous: publication year, log-N, RoB score), tested via mixed-effects meta-regression with Wald-type QM tests; Holm-Bonferroni correction within trait. Pre-registered restriction to k ≥ 10 per level for quantitative testing, with the remaining moderators reported narratively (disclosed as a deviation).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13f</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sensitivity analyses conducted to assess robustness of the synthesized results.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“Moderator and Sensitivity Analyses” subsection — seven pre-specified sensitivity analyses (RoB &lt; 5 exclusion; author's-own-study exclusion; converted-effect-size exclusion; small-sample exclusion; HEXACO-mapping variants; leave-one-out with Cook's distance; DerSimonian-Laird vs. REML). Results in Results → “Sensitivity and Robustness” and Table 4.</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Reporting bias assessment</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14</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used to assess risk of bias due to missing results in a synthesis (arising from reporting biases).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“Publication Bias” subsection — funnel plots, Egger's regression, Peters' regression, Duval &amp; Tweedie trim-and-fill (as sensitivity check, not point-estimate correction), and Simonsohn et al. p-curve. Grey-literature inclusion partially mitigates file-drawer effects.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Certainty assessment</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15</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used to assess certainty (or confidence) in the body of evidence for an outcome.</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“Confidence in Cumulative Evidence (GRADE)” subsection — GRADE adaptation for observational correlational syntheses (Schünemann et al., 2019); five downgrade domains (RoB, inconsistency, indirectness, imprecision, publication bias) and two upgrade considerations (large magnitude, dose-response). Minimum effect of interest |r| = .10.</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RESULTS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Study selection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16a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the results of the search and selection process, from the number of records identified in the search to the number of studies included in the review, ideally using a flow diagram.</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“Study Selection” subsection and Figure 1 (PRISMA 2020 flow diagram). Counts: 31 catalogued at full-text → 25 retained for qualitative synthesis → 10 contributing to the primary quantitative achievement pool.</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Study selection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16b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Cite studies that might appear to meet the inclusion criteria, but which were excluded, and explain why they were excluded.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“Study Selection” subsection and Table 1 — six post-eligibility exclusions are individually disclosed with reasons (A-09, A-10, A-16: face-to-face on secondary review; A-24: effect size not extractable; A-05: sample overlap with A-04; A-27: PDF unavailable). Five title-stage exclusions for non-Big-Five frameworks (MBTI, Proactive Personality, TAM, TUE) are summarized in the same subsection.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Study characteristics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17</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Cite each included study and present its characteristics.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“Characteristics of Included Studies” subsection and Table 1 — full per-study characteristics (sample, country, modality, instrument, outcome, N, year, era).</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Risk of bias in studies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18</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assessments of risk of bias for each included study.</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“Risk of Bias Across Included Studies” subsection. Per-study JBI 8-item ratings are deposited as Table S2 (supplementary) on OSF (05_risk_of_bias component, [OSF risk-of-bias DOI — provided post-acceptance]).</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of individual studies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19</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For all outcomes, present, for each study: (a) summary statistics for each group (where appropriate) and (b) an effect estimate and its precision (e.g. confidence/credible interval), ideally using structured tables or plots.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Forest plots (Figures 2–6) display per-study r and 95% CI for each of the five Big Five traits. Per-study extracted statistics are deposited in data_extraction.csv on OSF (04_extraction component, [OSF extraction DOI — provided post-acceptance]).</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of syntheses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20a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For each synthesis, briefly summarise the characteristics and risk of bias among contributing studies.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“Characteristics of Included Studies,” “Risk of Bias Across Included Studies,” and the trait-specific subsections of “Primary Pooled Effects.”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of syntheses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20b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“Primary Pooled Effects” subsection and Table 2 — pooled r, 95% HKSJ CI, prediction interval, Q, I², τ², τ for each Big Five trait.</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of syntheses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20c</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results of all investigations of possible causes of heterogeneity among study results.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“Moderator Analyses” subsection and Table 3 — Q_between, QM, R², and uncorrected/Holm-Bonferroni-corrected p-values for each tested moderator within each trait.</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of syntheses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20d</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results of all sensitivity analyses conducted to assess the robustness of the synthesized results.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“Sensitivity and Robustness” subsection and Table 4 — full comparison of pooled r and 95% CI under each of the seven sensitivity specifications (RoB &lt; 5 exclusion, author's-own-study exclusion, converted-effect-size exclusion, small-sample exclusion, HEXACO-mapping variants, leave-one-out, alternative τ² estimator).</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Reporting biases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21</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assessments of risk of bias due to missing results (arising from reporting biases) for each synthesis assessed.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“Publication Bias” subsection — Egger's regression, Peters' regression, trim-and-fill, and p-curve per trait. Funnel plots (Figures 7–11).</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Certainty of evidence</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22</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assessments of certainty (or confidence) in the body of evidence for each outcome assessed.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“GRADE Confidence Ratings” subsection and Table 5 — per-trait GRADE rating (Moderate for Conscientiousness and Extraversion; Low for Openness, Agreeableness, Neuroticism) with downgrade rationales.</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DISCUSSION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23a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Provide a general interpretation of the results in the context of other evidence.</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 → “Principal Findings in Context” subsection — interpretation against the eight prior face-to-face meta-analyses and the Personality-Achievement Saturation Hypothesis (PASH).</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23b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 any limitations of the evidence included in the review.</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 → “Limitations of the Evidence Base” subsection.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23c</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 any limitations of the review processes used.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 → “Limitations of the Review Process” subsection — single-reviewer workflow, search-database access deviation, narrowed moderator set, reliance on grey literature, and language restriction.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23d</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 implications of the results for practice, policy, and future research.</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 → “Implications for Practice and Future Research” subsection and Conclusion.</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OTHER INFORMATION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Registration and protocol</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24a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Provide registration information for the review, including the register name and registration number, or state that the review was not registered.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Declarations → “Pre-registration”; Author Note; and Methods → “Pre-registration and Reporting Standards.” OSF Registries, [OSF preregistration link — provided post-acceptance], DOI: [OSF preregistration DOI — provided post-acceptance], registered 23 April 2026.</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Registration and protocol</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24b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Indicate where the review protocol can be accessed, or state that a protocol was not prepared.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Declarations → “Pre-registration” and “Availability of data and material”; Methods → “Pre-registration and Reporting Standards.” Protocol deposited at [OSF protocol DOI — provided post-acceptance] (01_protocol component).</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Registration and protocol</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24c</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and explain any amendments to information provided at registration or in the protocol.</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“Deviations from the Pre-registered Protocol” subsection — three deviations are itemized (search-database access, moderator quantitative-vs-narrative reduction with k-per-level documentation, post-registration addition of Chen et al. 2025 to the benchmark corpus only, not the synthesis pool).</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Support</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25</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sources of financial or non-financial support for the review, and the role of the funders or sponsors in the review.</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Declarations → “Funding”; cover letter. No external funding.</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Competing interests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26</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Declare any competing interests of review authors.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Declarations → “Conflict of Interest”; Declaration of Interest Statement (separate file); cover letter. One author-own primary study (the author's own prior primary study) is potentially eligible; addressed by a pre-specified sensitivity analysis (|Δr| &lt; .001 across traits).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Availability of data, code and other materials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27</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Report which of the following are publicly available and where they can be found: template data collection forms; data extracted from included studies; data used for all analyses; analytic code; any other materials used in the review.</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Declarations → “Availability of data and material”; Methods → “Software and Reproducibility.” All materials are deposited on the OSF project ([OSF project DOI — provided post-acceptance]) across seven DOI-tagged components: 01_protocol, 02_search, 03_screening, 04_extraction, 05_risk_of_bias, 06_analysis, 07_pdf_index. Version-controlled mirror at [Code repository — provided post-acceptance].</w:t>
            </w:r>
          </w:p>
        </w:tc>
      </w:tr>
    </w:tbl>
    <w:p/>
    <w:p>
      <w:pPr>
        <w:spacing w:before="120"/>
      </w:pPr>
      <w:r>
        <w:rPr>
          <w:rFonts w:ascii="Calibri" w:hAnsi="Calibri" w:eastAsia="Calibri"/>
          <w:b w:val="0"/>
          <w:sz w:val="18"/>
        </w:rPr>
        <w:t>Page numbers are not used because they shift between the journal-formatted PDF and the reviewer (double-spaced) PDF; locations are referenced by section and subsection headings instead. The full PRISMA 2020 statement and Explanation &amp; Elaboration document are available at https://www.prisma-statement.org.</w:t>
      </w:r>
    </w:p>
    <w:sectPr w:rsidR="00FC693F" w:rsidRPr="0006063C" w:rsidSect="00034616">
      <w:pgSz w:w="15840" w:h="122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