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Point-by-Point Response to Minor-Revision Request</w:t>
      </w:r>
    </w:p>
    <w:p>
      <w:pPr>
        <w:spacing w:before="0" w:after="160" w:line="312" w:lineRule="auto"/>
        <w:jc w:val="center"/>
      </w:pPr>
      <w:r>
        <w:rPr>
          <w:b w:val="0"/>
          <w:sz w:val="22"/>
        </w:rPr>
        <w:t>Big Five Personality Traits and Academic Achievement in Online Learning Environments: A Systematic Review and Meta-Analysis</w:t>
      </w:r>
    </w:p>
    <w:p>
      <w:pPr>
        <w:spacing w:before="0" w:after="120" w:line="312" w:lineRule="auto"/>
        <w:jc w:val="center"/>
      </w:pPr>
      <w:r>
        <w:rPr>
          <w:b w:val="0"/>
          <w:sz w:val="20"/>
        </w:rPr>
        <w:t>Submission ID: 72427190-7674-4b5f-ac51-9518b8c16eaf  |  Decision: minor revision  |  Deadline: 26 May 2026</w:t>
      </w:r>
    </w:p>
    <w:p>
      <w:pPr>
        <w:spacing w:before="0" w:after="360" w:line="312" w:lineRule="auto"/>
        <w:jc w:val="center"/>
      </w:pPr>
      <w:r>
        <w:rPr>
          <w:b w:val="0"/>
          <w:sz w:val="20"/>
        </w:rPr>
        <w:t>[Author identifying information removed for double-anonymous peer review.]</w:t>
      </w:r>
    </w:p>
    <w:p>
      <w:pPr>
        <w:spacing w:before="0" w:after="120" w:line="312" w:lineRule="auto"/>
      </w:pPr>
      <w:r>
        <w:rPr>
          <w:b w:val="0"/>
          <w:sz w:val="22"/>
        </w:rPr>
        <w:t>We thank the Assistant Editor for the clear minor-revision guidance. Each item raised in the request is addressed in turn below. All revisions are confined to the Declarations block of the manuscript and to the supplementary materials; no changes have been made to the results, methods, or conclusions of the study.</w:t>
      </w:r>
    </w:p>
    <w:p>
      <w:pPr>
        <w:spacing w:before="200" w:after="120" w:line="312" w:lineRule="auto"/>
      </w:pPr>
      <w:r>
        <w:rPr>
          <w:b/>
          <w:sz w:val="24"/>
        </w:rPr>
        <w:t>Item 1 — Data and supporting documentation for systematic review / meta-analysis</w:t>
      </w:r>
    </w:p>
    <w:p>
      <w:pPr>
        <w:spacing w:before="0" w:after="120" w:line="312" w:lineRule="auto"/>
      </w:pPr>
      <w:r>
        <w:rPr>
          <w:b w:val="0"/>
          <w:sz w:val="20"/>
        </w:rPr>
        <w:t>Editor's request: provide PRISMA checklist and flow diagram, full search strategies, extracted records / screening logs / inclusion-exclusion criteria, data extraction forms, synthesis tables, and any other materials necessary to verify methodology and findings — either as files or as stable repository links.</w:t>
      </w:r>
    </w:p>
    <w:p>
      <w:pPr>
        <w:spacing w:before="0" w:after="120" w:line="312" w:lineRule="auto"/>
      </w:pPr>
      <w:r>
        <w:rPr>
          <w:b/>
          <w:sz w:val="22"/>
        </w:rPr>
        <w:t>Response.</w:t>
      </w:r>
    </w:p>
    <w:p>
      <w:pPr>
        <w:spacing w:before="0" w:after="120" w:line="312" w:lineRule="auto"/>
      </w:pPr>
      <w:r>
        <w:rPr>
          <w:b w:val="0"/>
          <w:sz w:val="22"/>
        </w:rPr>
        <w:t>All requested materials have been provided as anonymised supplementary files with this submission:</w:t>
      </w:r>
    </w:p>
    <w:p>
      <w:pPr>
        <w:pStyle w:val="ListBullet"/>
        <w:spacing w:after="60"/>
      </w:pPr>
      <w:r>
        <w:rPr>
          <w:sz w:val="20"/>
        </w:rPr>
        <w:t>PRISMA 2020 27-item checklist — prisma_2020_checklist_anon.docx. Section-level locations for each of the 27 items are listed alongside the item text.</w:t>
      </w:r>
    </w:p>
    <w:p>
      <w:pPr>
        <w:pStyle w:val="ListBullet"/>
        <w:spacing w:after="60"/>
      </w:pPr>
      <w:r>
        <w:rPr>
          <w:sz w:val="20"/>
        </w:rPr>
        <w:t>PRISMA 2020 flow diagram — Figure 1 of the main manuscript (also reproduced in the search-strategy supplement with the final counts).</w:t>
      </w:r>
    </w:p>
    <w:p>
      <w:pPr>
        <w:pStyle w:val="ListBullet"/>
        <w:spacing w:after="60"/>
      </w:pPr>
      <w:r>
        <w:rPr>
          <w:sz w:val="20"/>
        </w:rPr>
        <w:t>Full Boolean search strategy — search_strategy_anon.docx. Contains all three concept blocks with full OR-expansion, the database and source list, execution dates, query-level hit counts, and a transparent disclosure of the pre-registered-vs-executed search deviation.</w:t>
      </w:r>
    </w:p>
    <w:p>
      <w:pPr>
        <w:pStyle w:val="ListBullet"/>
        <w:spacing w:after="60"/>
      </w:pPr>
      <w:r>
        <w:rPr>
          <w:sz w:val="20"/>
        </w:rPr>
        <w:t>Eligibility criteria and screening decisions — reported in the Methods → Eligibility Criteria, Information Sources, and Study Selection subsections of the manuscript; full-text exclusion reasons are reported in Results.</w:t>
      </w:r>
    </w:p>
    <w:p>
      <w:pPr>
        <w:pStyle w:val="ListBullet"/>
        <w:spacing w:after="60"/>
      </w:pPr>
      <w:r>
        <w:rPr>
          <w:sz w:val="20"/>
        </w:rPr>
        <w:t>Data-extraction forms / synthesis tables — reproduced as Table 1 (extraction-level metadata for every included study) and Tables 2-5 (pooled effects, moderator analyses, sensitivity analyses, GRADE) of the main manuscript.</w:t>
      </w:r>
    </w:p>
    <w:p>
      <w:pPr>
        <w:pStyle w:val="ListBullet"/>
        <w:spacing w:after="60"/>
      </w:pPr>
      <w:r>
        <w:rPr>
          <w:sz w:val="20"/>
        </w:rPr>
        <w:t>Underlying datasets, analysis code, screening ledger, JBI risk-of-bias spreadsheet, and article-level DOI index — permanently deposited under stable DOIs in a time-stamped open-science repository and a version-controlled code repository. Their URLs are withheld at this stage solely because they identify the author; they will be supplied to the editorial office post-acceptance.</w:t>
      </w:r>
    </w:p>
    <w:p>
      <w:pPr>
        <w:spacing w:before="200" w:after="120" w:line="312" w:lineRule="auto"/>
      </w:pPr>
      <w:r>
        <w:rPr>
          <w:b/>
          <w:sz w:val="24"/>
        </w:rPr>
        <w:t>Item 2 — Data Availability statement (manuscript file)</w:t>
      </w:r>
    </w:p>
    <w:p>
      <w:pPr>
        <w:spacing w:before="0" w:after="120" w:line="312" w:lineRule="auto"/>
      </w:pPr>
      <w:r>
        <w:rPr>
          <w:b w:val="0"/>
          <w:sz w:val="20"/>
        </w:rPr>
        <w:t>Editor's request: include a Data Availability statement at the end of the manuscript detailing (i) what materials have been shared, (ii) where they can be accessed, and (iii) any reasons why materials cannot be shared.</w:t>
      </w:r>
    </w:p>
    <w:p>
      <w:pPr>
        <w:spacing w:before="0" w:after="120" w:line="312" w:lineRule="auto"/>
      </w:pPr>
      <w:r>
        <w:rPr>
          <w:b/>
          <w:sz w:val="22"/>
        </w:rPr>
        <w:t>Response.</w:t>
      </w:r>
    </w:p>
    <w:p>
      <w:pPr>
        <w:spacing w:before="0" w:after="120" w:line="312" w:lineRule="auto"/>
      </w:pPr>
      <w:r>
        <w:rPr>
          <w:b w:val="0"/>
          <w:sz w:val="22"/>
        </w:rPr>
        <w:t>A Data Availability Statement has been added to the Declarations block of the manuscript (immediately after Funding, before Authors' Contributions). The full statement lists, item-by-item, every supplementary file uploaded with this submission, explicitly identifies the manuscript Tables and Figure 1 as the synthesis and flow-diagram materials, and explains that the OSF and code-repository URLs are temporarily withheld only because they identify the author; the deposits themselves are complete and unredacted.</w:t>
      </w:r>
    </w:p>
    <w:p>
      <w:pPr>
        <w:spacing w:before="200" w:after="120" w:line="312" w:lineRule="auto"/>
      </w:pPr>
      <w:r>
        <w:rPr>
          <w:b/>
          <w:sz w:val="24"/>
        </w:rPr>
        <w:t>Item 3 — Data Availability statement (submission-portal Declarations form)</w:t>
      </w:r>
    </w:p>
    <w:p>
      <w:pPr>
        <w:spacing w:before="0" w:after="120" w:line="312" w:lineRule="auto"/>
      </w:pPr>
      <w:r>
        <w:rPr>
          <w:b w:val="0"/>
          <w:sz w:val="20"/>
        </w:rPr>
        <w:t>Editor's request: provide the same Data Availability statement on the submission system under 'Declarations'; do not accept 'NO'; ensure the same text is in both the manuscript and the submission system.</w:t>
      </w:r>
    </w:p>
    <w:p>
      <w:pPr>
        <w:spacing w:before="0" w:after="120" w:line="312" w:lineRule="auto"/>
      </w:pPr>
      <w:r>
        <w:rPr>
          <w:b/>
          <w:sz w:val="22"/>
        </w:rPr>
        <w:t>Response.</w:t>
      </w:r>
    </w:p>
    <w:p>
      <w:pPr>
        <w:spacing w:before="0" w:after="120" w:line="312" w:lineRule="auto"/>
      </w:pPr>
      <w:r>
        <w:rPr>
          <w:b w:val="0"/>
          <w:sz w:val="22"/>
        </w:rPr>
        <w:t>The identical Data Availability statement that appears in the manuscript Declarations block has been entered into the submission-portal Declarations form. The verbatim text used in both locations is reproduced in the (non-anonymous) cover letter for the editor's review.</w:t>
      </w:r>
    </w:p>
    <w:p>
      <w:pPr>
        <w:spacing w:before="200" w:after="120" w:line="312" w:lineRule="auto"/>
      </w:pPr>
      <w:r>
        <w:rPr>
          <w:b/>
          <w:sz w:val="24"/>
        </w:rPr>
        <w:t>Item 4 — Ethical statements in editable format within the cover letter</w:t>
      </w:r>
    </w:p>
    <w:p>
      <w:pPr>
        <w:spacing w:before="0" w:after="120" w:line="312" w:lineRule="auto"/>
      </w:pPr>
      <w:r>
        <w:rPr>
          <w:b w:val="0"/>
          <w:sz w:val="20"/>
        </w:rPr>
        <w:t>Editor's request: provide ethical statements in editable format within the cover letter; if submitting an ethics-committee confirmation letter (in English), include it along with the editable ethical statement.</w:t>
      </w:r>
    </w:p>
    <w:p>
      <w:pPr>
        <w:spacing w:before="0" w:after="120" w:line="312" w:lineRule="auto"/>
      </w:pPr>
      <w:r>
        <w:rPr>
          <w:b/>
          <w:sz w:val="22"/>
        </w:rPr>
        <w:t>Response.</w:t>
      </w:r>
    </w:p>
    <w:p>
      <w:pPr>
        <w:spacing w:before="0" w:after="120" w:line="312" w:lineRule="auto"/>
      </w:pPr>
      <w:r>
        <w:rPr>
          <w:b w:val="0"/>
          <w:sz w:val="22"/>
        </w:rPr>
        <w:t>The four ethical statements (Ethics Approval, Consent to Participate, Consent for Publication, and the summary 'Human Ethics and Consent to Participate Declarations: Not applicable') are reproduced in editable text format in the (non-anonymous) cover letter that accompanies this response, matching verbatim the wording in the Declarations block of the manuscript. No separate ethics-committee confirmation letter is included because, as the Ethics Approval statement explains, no IRB or Research Ethics Committee approval was required for the conduct of this systematic review and meta-analysis (no new primary data were collected from human participants by the present author).</w:t>
      </w:r>
    </w:p>
    <w:p>
      <w:pPr>
        <w:spacing w:before="200" w:after="120" w:line="312" w:lineRule="auto"/>
      </w:pPr>
      <w:r>
        <w:rPr>
          <w:b/>
          <w:sz w:val="24"/>
        </w:rPr>
        <w:t>Item 5 — Author identifying information removed from all files except the cover letter</w:t>
      </w:r>
    </w:p>
    <w:p>
      <w:pPr>
        <w:spacing w:before="0" w:after="120" w:line="312" w:lineRule="auto"/>
      </w:pPr>
      <w:r>
        <w:rPr>
          <w:b w:val="0"/>
          <w:sz w:val="20"/>
        </w:rPr>
        <w:t>Editor's instruction: do not include author name or details in the point-by-point response letter or in any of the files, except the cover letter.</w:t>
      </w:r>
    </w:p>
    <w:p>
      <w:pPr>
        <w:spacing w:before="0" w:after="120" w:line="312" w:lineRule="auto"/>
      </w:pPr>
      <w:r>
        <w:rPr>
          <w:b/>
          <w:sz w:val="22"/>
        </w:rPr>
        <w:t>Response.</w:t>
      </w:r>
    </w:p>
    <w:p>
      <w:pPr>
        <w:spacing w:before="0" w:after="120" w:line="312" w:lineRule="auto"/>
      </w:pPr>
      <w:r>
        <w:rPr>
          <w:b w:val="0"/>
          <w:sz w:val="22"/>
        </w:rPr>
        <w:t>The manuscript, this point-by-point response, the PRISMA checklist, the search-strategy supplement, and the Declaration of Interest have all been rebuilt as fully anonymised versions. Specifically, the following identifying tokens have been removed wherever they appeared: author name, ORCID, email, institutional affiliation, OSF and preregistration DOIs, preprint DOI, and code-repository URL. Each anonymised file has been verified programmatically against a 11-token leak-detection scan that reported zero hits. Identifying information is confined entirely to the cover letter (cover_letter_hssc_minor_revision.docx).</w:t>
      </w:r>
    </w:p>
    <w:p>
      <w:pPr>
        <w:spacing w:before="240" w:after="120" w:line="312" w:lineRule="auto"/>
      </w:pPr>
      <w:r>
        <w:rPr>
          <w:b w:val="0"/>
          <w:sz w:val="22"/>
        </w:rPr>
        <w:t>All revision items have been addressed. The manuscript, the Declarations block, and the supplementary files are ready for the next stage of editorial processing. If any further technical-check items remain after this submission, they will be addressed within the same week.</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