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Calibri" w:hAnsi="Calibri"/>
          <w:b/>
          <w:sz w:val="28"/>
        </w:rPr>
        <w:t>Supplementary File: Full Search Strategy and Search Log</w:t>
      </w:r>
    </w:p>
    <w:p>
      <w:pPr>
        <w:spacing w:after="240" w:line="276" w:lineRule="auto"/>
        <w:jc w:val="center"/>
      </w:pPr>
      <w:r>
        <w:rPr>
          <w:rFonts w:ascii="Calibri" w:hAnsi="Calibri"/>
          <w:b w:val="0"/>
          <w:sz w:val="22"/>
        </w:rPr>
        <w:t>Big Five Personality Traits and Academic Achievement in Online Learning Environments: A Systematic Review and Meta-Analysis</w:t>
      </w:r>
    </w:p>
    <w:p>
      <w:pPr>
        <w:spacing w:after="360" w:line="276" w:lineRule="auto"/>
        <w:jc w:val="center"/>
      </w:pPr>
      <w:r>
        <w:rPr>
          <w:rFonts w:ascii="Calibri" w:hAnsi="Calibri"/>
          <w:b w:val="0"/>
          <w:sz w:val="20"/>
        </w:rPr>
        <w:t>[Author identifying information removed for double-anonymous peer review]</w:t>
      </w:r>
    </w:p>
    <w:p>
      <w:pPr>
        <w:spacing w:after="120" w:line="276" w:lineRule="auto"/>
      </w:pPr>
      <w:r>
        <w:rPr>
          <w:rFonts w:ascii="Calibri" w:hAnsi="Calibri"/>
          <w:b/>
          <w:sz w:val="26"/>
        </w:rPr>
        <w:t>1. Pre-registration and Open-Science Deposit</w:t>
      </w:r>
    </w:p>
    <w:p>
      <w:pPr>
        <w:spacing w:after="120" w:line="276" w:lineRule="auto"/>
      </w:pPr>
      <w:r>
        <w:rPr>
          <w:rFonts w:ascii="Calibri" w:hAnsi="Calibri"/>
          <w:b w:val="0"/>
          <w:sz w:val="22"/>
        </w:rPr>
        <w:t>The search strategy described below was specified in advance and time-stamped on OSF Registries on 23 April 2026, prior to formal data extraction. The full pre-registration record, the database search log, screening decisions, data extraction forms, JBI risk-of-bias ratings, and the analysis code are all permanently deposited in a time-stamped open-science repository. The DOIs for the pre-registration record and the seven-component OSF project (protocol, search, screening, extraction, risk-of-bias, analysis, and article-level DOI index) will be supplied to the editorial office post-acceptance for double-anonymous peer review purposes; in the interim, all relevant files have been uploaded as anonymised supplementary materials with this submission.</w:t>
      </w:r>
    </w:p>
    <w:p>
      <w:pPr>
        <w:spacing w:after="120" w:line="276" w:lineRule="auto"/>
      </w:pPr>
      <w:r>
        <w:rPr>
          <w:rFonts w:ascii="Calibri" w:hAnsi="Calibri"/>
          <w:b/>
          <w:sz w:val="26"/>
        </w:rPr>
        <w:t>2. Three-Concept Boolean Search Strategy</w:t>
      </w:r>
    </w:p>
    <w:p>
      <w:pPr>
        <w:spacing w:after="200" w:line="276" w:lineRule="auto"/>
      </w:pPr>
      <w:r>
        <w:rPr>
          <w:rFonts w:ascii="Calibri" w:hAnsi="Calibri"/>
          <w:b w:val="0"/>
          <w:sz w:val="22"/>
        </w:rPr>
        <w:t>The search combined three concept blocks with the Boolean operator AND. Each concept block was constructed as an OR-expansion of synonyms, with both controlled-vocabulary (MeSH/thesaurus) and free-text variants. Limits: English language; no publication-year restriction.</w:t>
      </w:r>
    </w:p>
    <w:p>
      <w:pPr>
        <w:spacing w:after="40" w:line="276" w:lineRule="auto"/>
      </w:pPr>
      <w:r>
        <w:rPr>
          <w:rFonts w:ascii="Calibri" w:hAnsi="Calibri"/>
          <w:b/>
          <w:sz w:val="22"/>
        </w:rPr>
        <w:t>Concept 1 — Personality</w:t>
      </w:r>
    </w:p>
    <w:p>
      <w:pPr>
        <w:spacing w:after="200" w:line="276" w:lineRule="auto"/>
      </w:pPr>
      <w:r>
        <w:rPr>
          <w:rFonts w:ascii="Calibri" w:hAnsi="Calibri"/>
          <w:b w:val="0"/>
          <w:sz w:val="20"/>
        </w:rPr>
        <w:t>"Big Five" OR "Five-Factor Model" OR "FFM" OR "HEXACO" OR "BFI" OR "NEO-PI-R" OR "NEO-FFI" OR "IPIP" OR "conscientiousness" OR "openness to experience" OR "extraversion" OR "agreeableness" OR "neuroticism" OR "emotional stability" OR "personality traits"</w:t>
      </w:r>
    </w:p>
    <w:p>
      <w:pPr>
        <w:spacing w:after="40" w:line="276" w:lineRule="auto"/>
      </w:pPr>
      <w:r>
        <w:rPr>
          <w:rFonts w:ascii="Calibri" w:hAnsi="Calibri"/>
          <w:b/>
          <w:sz w:val="22"/>
        </w:rPr>
        <w:t>Concept 2 — Online learning</w:t>
      </w:r>
    </w:p>
    <w:p>
      <w:pPr>
        <w:spacing w:after="200" w:line="276" w:lineRule="auto"/>
      </w:pPr>
      <w:r>
        <w:rPr>
          <w:rFonts w:ascii="Calibri" w:hAnsi="Calibri"/>
          <w:b w:val="0"/>
          <w:sz w:val="20"/>
        </w:rPr>
        <w:t>"online learning" OR "e-learning" OR "distance learning" OR "remote learning" OR "virtual learning" OR "blended learning" OR "hybrid learning" OR "MOOC" OR "massive open online course" OR "web-based learning" OR "computer-mediated learning" OR "learning management system" OR "LMS" OR "online course" OR "synchronous online" OR "asynchronous online"</w:t>
      </w:r>
    </w:p>
    <w:p>
      <w:pPr>
        <w:spacing w:after="40" w:line="276" w:lineRule="auto"/>
      </w:pPr>
      <w:r>
        <w:rPr>
          <w:rFonts w:ascii="Calibri" w:hAnsi="Calibri"/>
          <w:b/>
          <w:sz w:val="22"/>
        </w:rPr>
        <w:t>Concept 3 — Academic outcome</w:t>
      </w:r>
    </w:p>
    <w:p>
      <w:pPr>
        <w:spacing w:after="360" w:line="276" w:lineRule="auto"/>
      </w:pPr>
      <w:r>
        <w:rPr>
          <w:rFonts w:ascii="Calibri" w:hAnsi="Calibri"/>
          <w:b w:val="0"/>
          <w:sz w:val="20"/>
        </w:rPr>
        <w:t>"academic performance" OR "academic achievement" OR "GPA" OR "grade point average" OR "test score" OR "course grade" OR "learning outcome" OR "learning performance" OR "academic success"</w:t>
      </w:r>
    </w:p>
    <w:p>
      <w:pPr>
        <w:spacing w:after="120" w:line="276" w:lineRule="auto"/>
      </w:pPr>
      <w:r>
        <w:rPr>
          <w:rFonts w:ascii="Calibri" w:hAnsi="Calibri"/>
          <w:b/>
          <w:sz w:val="26"/>
        </w:rPr>
        <w:t>3. Databases and Sources Consulted</w:t>
      </w:r>
    </w:p>
    <w:tbl>
      <w:tblPr>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454"/>
            <w:tcBorders>
              <w:top w:val="single" w:sz="4" w:color="808080"/>
              <w:left w:val="single" w:sz="4" w:color="808080"/>
              <w:bottom w:val="single" w:sz="4" w:color="808080"/>
              <w:right w:val="single" w:sz="4" w:color="808080"/>
            </w:tcBorders>
          </w:tcPr>
          <w:p>
            <w:r/>
            <w:r>
              <w:rPr>
                <w:rFonts w:ascii="Calibri" w:hAnsi="Calibri"/>
                <w:b/>
                <w:sz w:val="20"/>
              </w:rPr>
              <w:t>#</w:t>
            </w:r>
          </w:p>
        </w:tc>
        <w:tc>
          <w:tcPr>
            <w:tcW w:type="dxa" w:w="1984"/>
            <w:tcBorders>
              <w:top w:val="single" w:sz="4" w:color="808080"/>
              <w:left w:val="single" w:sz="4" w:color="808080"/>
              <w:bottom w:val="single" w:sz="4" w:color="808080"/>
              <w:right w:val="single" w:sz="4" w:color="808080"/>
            </w:tcBorders>
          </w:tcPr>
          <w:p>
            <w:r/>
            <w:r>
              <w:rPr>
                <w:rFonts w:ascii="Calibri" w:hAnsi="Calibri"/>
                <w:b/>
                <w:sz w:val="20"/>
              </w:rPr>
              <w:t>Database / Source</w:t>
            </w:r>
          </w:p>
        </w:tc>
        <w:tc>
          <w:tcPr>
            <w:tcW w:type="dxa" w:w="2721"/>
            <w:tcBorders>
              <w:top w:val="single" w:sz="4" w:color="808080"/>
              <w:left w:val="single" w:sz="4" w:color="808080"/>
              <w:bottom w:val="single" w:sz="4" w:color="808080"/>
              <w:right w:val="single" w:sz="4" w:color="808080"/>
            </w:tcBorders>
          </w:tcPr>
          <w:p>
            <w:r/>
            <w:r>
              <w:rPr>
                <w:rFonts w:ascii="Calibri" w:hAnsi="Calibri"/>
                <w:b/>
                <w:sz w:val="20"/>
              </w:rPr>
              <w:t>Access route</w:t>
            </w:r>
          </w:p>
        </w:tc>
        <w:tc>
          <w:tcPr>
            <w:tcW w:type="dxa" w:w="1361"/>
            <w:tcBorders>
              <w:top w:val="single" w:sz="4" w:color="808080"/>
              <w:left w:val="single" w:sz="4" w:color="808080"/>
              <w:bottom w:val="single" w:sz="4" w:color="808080"/>
              <w:right w:val="single" w:sz="4" w:color="808080"/>
            </w:tcBorders>
          </w:tcPr>
          <w:p>
            <w:r/>
            <w:r>
              <w:rPr>
                <w:rFonts w:ascii="Calibri" w:hAnsi="Calibri"/>
                <w:b/>
                <w:sz w:val="20"/>
              </w:rPr>
              <w:t>Status</w:t>
            </w:r>
          </w:p>
        </w:tc>
        <w:tc>
          <w:tcPr>
            <w:tcW w:type="dxa" w:w="1361"/>
            <w:tcBorders>
              <w:top w:val="single" w:sz="4" w:color="808080"/>
              <w:left w:val="single" w:sz="4" w:color="808080"/>
              <w:bottom w:val="single" w:sz="4" w:color="808080"/>
              <w:right w:val="single" w:sz="4" w:color="808080"/>
            </w:tcBorders>
          </w:tcPr>
          <w:p>
            <w:r/>
            <w:r>
              <w:rPr>
                <w:rFonts w:ascii="Calibri" w:hAnsi="Calibri"/>
                <w:b/>
                <w:sz w:val="20"/>
              </w:rPr>
              <w:t>Execution date</w:t>
            </w:r>
          </w:p>
        </w:tc>
        <w:tc>
          <w:tcPr>
            <w:tcW w:type="dxa" w:w="1474"/>
            <w:tcBorders>
              <w:top w:val="single" w:sz="4" w:color="808080"/>
              <w:left w:val="single" w:sz="4" w:color="808080"/>
              <w:bottom w:val="single" w:sz="4" w:color="808080"/>
              <w:right w:val="single" w:sz="4" w:color="808080"/>
            </w:tcBorders>
          </w:tcPr>
          <w:p>
            <w:r/>
            <w:r>
              <w:rPr>
                <w:rFonts w:ascii="Calibri" w:hAnsi="Calibri"/>
                <w:b/>
                <w:sz w:val="20"/>
              </w:rPr>
              <w:t>Raw hits</w:t>
            </w:r>
          </w:p>
        </w:tc>
      </w:tr>
      <w:tr>
        <w:tc>
          <w:tcPr>
            <w:tcW w:type="dxa" w:w="454"/>
            <w:tcBorders>
              <w:top w:val="single" w:sz="4" w:color="808080"/>
              <w:left w:val="single" w:sz="4" w:color="808080"/>
              <w:bottom w:val="single" w:sz="4" w:color="808080"/>
              <w:right w:val="single" w:sz="4" w:color="808080"/>
            </w:tcBorders>
          </w:tcPr>
          <w:p>
            <w:r/>
            <w:r>
              <w:rPr>
                <w:rFonts w:ascii="Calibri" w:hAnsi="Calibri"/>
                <w:sz w:val="20"/>
              </w:rPr>
              <w:t>1</w:t>
            </w:r>
          </w:p>
        </w:tc>
        <w:tc>
          <w:tcPr>
            <w:tcW w:type="dxa" w:w="1984"/>
            <w:tcBorders>
              <w:top w:val="single" w:sz="4" w:color="808080"/>
              <w:left w:val="single" w:sz="4" w:color="808080"/>
              <w:bottom w:val="single" w:sz="4" w:color="808080"/>
              <w:right w:val="single" w:sz="4" w:color="808080"/>
            </w:tcBorders>
          </w:tcPr>
          <w:p>
            <w:r/>
            <w:r>
              <w:rPr>
                <w:rFonts w:ascii="Calibri" w:hAnsi="Calibri"/>
                <w:sz w:val="20"/>
              </w:rPr>
              <w:t>PubMed / MEDLINE</w:t>
            </w:r>
          </w:p>
        </w:tc>
        <w:tc>
          <w:tcPr>
            <w:tcW w:type="dxa" w:w="2721"/>
            <w:tcBorders>
              <w:top w:val="single" w:sz="4" w:color="808080"/>
              <w:left w:val="single" w:sz="4" w:color="808080"/>
              <w:bottom w:val="single" w:sz="4" w:color="808080"/>
              <w:right w:val="single" w:sz="4" w:color="808080"/>
            </w:tcBorders>
          </w:tcPr>
          <w:p>
            <w:r/>
            <w:r>
              <w:rPr>
                <w:rFonts w:ascii="Calibri" w:hAnsi="Calibri"/>
                <w:sz w:val="20"/>
              </w:rPr>
              <w:t>NCBI E-utilities API (blocked)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Not executed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2026-04-23</w:t>
            </w:r>
          </w:p>
        </w:tc>
        <w:tc>
          <w:tcPr>
            <w:tcW w:type="dxa" w:w="1474"/>
            <w:tcBorders>
              <w:top w:val="single" w:sz="4" w:color="808080"/>
              <w:left w:val="single" w:sz="4" w:color="808080"/>
              <w:bottom w:val="single" w:sz="4" w:color="808080"/>
              <w:right w:val="single" w:sz="4" w:color="808080"/>
            </w:tcBorders>
          </w:tcPr>
          <w:p>
            <w:r/>
            <w:r>
              <w:rPr>
                <w:rFonts w:ascii="Calibri" w:hAnsi="Calibri"/>
                <w:sz w:val="20"/>
              </w:rPr>
              <w:t>—</w:t>
            </w:r>
          </w:p>
        </w:tc>
      </w:tr>
      <w:tr>
        <w:tc>
          <w:tcPr>
            <w:tcW w:type="dxa" w:w="454"/>
            <w:tcBorders>
              <w:top w:val="single" w:sz="4" w:color="808080"/>
              <w:left w:val="single" w:sz="4" w:color="808080"/>
              <w:bottom w:val="single" w:sz="4" w:color="808080"/>
              <w:right w:val="single" w:sz="4" w:color="808080"/>
            </w:tcBorders>
          </w:tcPr>
          <w:p>
            <w:r/>
            <w:r>
              <w:rPr>
                <w:rFonts w:ascii="Calibri" w:hAnsi="Calibri"/>
                <w:sz w:val="20"/>
              </w:rPr>
              <w:t>2</w:t>
            </w:r>
          </w:p>
        </w:tc>
        <w:tc>
          <w:tcPr>
            <w:tcW w:type="dxa" w:w="1984"/>
            <w:tcBorders>
              <w:top w:val="single" w:sz="4" w:color="808080"/>
              <w:left w:val="single" w:sz="4" w:color="808080"/>
              <w:bottom w:val="single" w:sz="4" w:color="808080"/>
              <w:right w:val="single" w:sz="4" w:color="808080"/>
            </w:tcBorders>
          </w:tcPr>
          <w:p>
            <w:r/>
            <w:r>
              <w:rPr>
                <w:rFonts w:ascii="Calibri" w:hAnsi="Calibri"/>
                <w:sz w:val="20"/>
              </w:rPr>
              <w:t>OpenAlex</w:t>
            </w:r>
          </w:p>
        </w:tc>
        <w:tc>
          <w:tcPr>
            <w:tcW w:type="dxa" w:w="2721"/>
            <w:tcBorders>
              <w:top w:val="single" w:sz="4" w:color="808080"/>
              <w:left w:val="single" w:sz="4" w:color="808080"/>
              <w:bottom w:val="single" w:sz="4" w:color="808080"/>
              <w:right w:val="single" w:sz="4" w:color="808080"/>
            </w:tcBorders>
          </w:tcPr>
          <w:p>
            <w:r/>
            <w:r>
              <w:rPr>
                <w:rFonts w:ascii="Calibri" w:hAnsi="Calibri"/>
                <w:sz w:val="20"/>
              </w:rPr>
              <w:t>OpenAlex REST API (blocked)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Not executed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2026-04-23</w:t>
            </w:r>
          </w:p>
        </w:tc>
        <w:tc>
          <w:tcPr>
            <w:tcW w:type="dxa" w:w="1474"/>
            <w:tcBorders>
              <w:top w:val="single" w:sz="4" w:color="808080"/>
              <w:left w:val="single" w:sz="4" w:color="808080"/>
              <w:bottom w:val="single" w:sz="4" w:color="808080"/>
              <w:right w:val="single" w:sz="4" w:color="808080"/>
            </w:tcBorders>
          </w:tcPr>
          <w:p>
            <w:r/>
            <w:r>
              <w:rPr>
                <w:rFonts w:ascii="Calibri" w:hAnsi="Calibri"/>
                <w:sz w:val="20"/>
              </w:rPr>
              <w:t>—</w:t>
            </w:r>
          </w:p>
        </w:tc>
      </w:tr>
      <w:tr>
        <w:tc>
          <w:tcPr>
            <w:tcW w:type="dxa" w:w="454"/>
            <w:tcBorders>
              <w:top w:val="single" w:sz="4" w:color="808080"/>
              <w:left w:val="single" w:sz="4" w:color="808080"/>
              <w:bottom w:val="single" w:sz="4" w:color="808080"/>
              <w:right w:val="single" w:sz="4" w:color="808080"/>
            </w:tcBorders>
          </w:tcPr>
          <w:p>
            <w:r/>
            <w:r>
              <w:rPr>
                <w:rFonts w:ascii="Calibri" w:hAnsi="Calibri"/>
                <w:sz w:val="20"/>
              </w:rPr>
              <w:t>3</w:t>
            </w:r>
          </w:p>
        </w:tc>
        <w:tc>
          <w:tcPr>
            <w:tcW w:type="dxa" w:w="1984"/>
            <w:tcBorders>
              <w:top w:val="single" w:sz="4" w:color="808080"/>
              <w:left w:val="single" w:sz="4" w:color="808080"/>
              <w:bottom w:val="single" w:sz="4" w:color="808080"/>
              <w:right w:val="single" w:sz="4" w:color="808080"/>
            </w:tcBorders>
          </w:tcPr>
          <w:p>
            <w:r/>
            <w:r>
              <w:rPr>
                <w:rFonts w:ascii="Calibri" w:hAnsi="Calibri"/>
                <w:sz w:val="20"/>
              </w:rPr>
              <w:t>ERIC</w:t>
            </w:r>
          </w:p>
        </w:tc>
        <w:tc>
          <w:tcPr>
            <w:tcW w:type="dxa" w:w="2721"/>
            <w:tcBorders>
              <w:top w:val="single" w:sz="4" w:color="808080"/>
              <w:left w:val="single" w:sz="4" w:color="808080"/>
              <w:bottom w:val="single" w:sz="4" w:color="808080"/>
              <w:right w:val="single" w:sz="4" w:color="808080"/>
            </w:tcBorders>
          </w:tcPr>
          <w:p>
            <w:r/>
            <w:r>
              <w:rPr>
                <w:rFonts w:ascii="Calibri" w:hAnsi="Calibri"/>
                <w:sz w:val="20"/>
              </w:rPr>
              <w:t>ERIC web search interface</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Completed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2026-04-23</w:t>
            </w:r>
          </w:p>
        </w:tc>
        <w:tc>
          <w:tcPr>
            <w:tcW w:type="dxa" w:w="1474"/>
            <w:tcBorders>
              <w:top w:val="single" w:sz="4" w:color="808080"/>
              <w:left w:val="single" w:sz="4" w:color="808080"/>
              <w:bottom w:val="single" w:sz="4" w:color="808080"/>
              <w:right w:val="single" w:sz="4" w:color="808080"/>
            </w:tcBorders>
          </w:tcPr>
          <w:p>
            <w:r/>
            <w:r>
              <w:rPr>
                <w:rFonts w:ascii="Calibri" w:hAnsi="Calibri"/>
                <w:sz w:val="20"/>
              </w:rPr>
              <w:t>Contributed</w:t>
            </w:r>
          </w:p>
        </w:tc>
      </w:tr>
      <w:tr>
        <w:tc>
          <w:tcPr>
            <w:tcW w:type="dxa" w:w="454"/>
            <w:tcBorders>
              <w:top w:val="single" w:sz="4" w:color="808080"/>
              <w:left w:val="single" w:sz="4" w:color="808080"/>
              <w:bottom w:val="single" w:sz="4" w:color="808080"/>
              <w:right w:val="single" w:sz="4" w:color="808080"/>
            </w:tcBorders>
          </w:tcPr>
          <w:p>
            <w:r/>
            <w:r>
              <w:rPr>
                <w:rFonts w:ascii="Calibri" w:hAnsi="Calibri"/>
                <w:sz w:val="20"/>
              </w:rPr>
              <w:t>4</w:t>
            </w:r>
          </w:p>
        </w:tc>
        <w:tc>
          <w:tcPr>
            <w:tcW w:type="dxa" w:w="1984"/>
            <w:tcBorders>
              <w:top w:val="single" w:sz="4" w:color="808080"/>
              <w:left w:val="single" w:sz="4" w:color="808080"/>
              <w:bottom w:val="single" w:sz="4" w:color="808080"/>
              <w:right w:val="single" w:sz="4" w:color="808080"/>
            </w:tcBorders>
          </w:tcPr>
          <w:p>
            <w:r/>
            <w:r>
              <w:rPr>
                <w:rFonts w:ascii="Calibri" w:hAnsi="Calibri"/>
                <w:sz w:val="20"/>
              </w:rPr>
              <w:t>Semantic Scholar</w:t>
            </w:r>
          </w:p>
        </w:tc>
        <w:tc>
          <w:tcPr>
            <w:tcW w:type="dxa" w:w="2721"/>
            <w:tcBorders>
              <w:top w:val="single" w:sz="4" w:color="808080"/>
              <w:left w:val="single" w:sz="4" w:color="808080"/>
              <w:bottom w:val="single" w:sz="4" w:color="808080"/>
              <w:right w:val="single" w:sz="4" w:color="808080"/>
            </w:tcBorders>
          </w:tcPr>
          <w:p>
            <w:r/>
            <w:r>
              <w:rPr>
                <w:rFonts w:ascii="Calibri" w:hAnsi="Calibri"/>
                <w:sz w:val="20"/>
              </w:rPr>
              <w:t>Semantic Scholar API (blocked)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Not executed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2026-04-23</w:t>
            </w:r>
          </w:p>
        </w:tc>
        <w:tc>
          <w:tcPr>
            <w:tcW w:type="dxa" w:w="1474"/>
            <w:tcBorders>
              <w:top w:val="single" w:sz="4" w:color="808080"/>
              <w:left w:val="single" w:sz="4" w:color="808080"/>
              <w:bottom w:val="single" w:sz="4" w:color="808080"/>
              <w:right w:val="single" w:sz="4" w:color="808080"/>
            </w:tcBorders>
          </w:tcPr>
          <w:p>
            <w:r/>
            <w:r>
              <w:rPr>
                <w:rFonts w:ascii="Calibri" w:hAnsi="Calibri"/>
                <w:sz w:val="20"/>
              </w:rPr>
              <w:t>—</w:t>
            </w:r>
          </w:p>
        </w:tc>
      </w:tr>
      <w:tr>
        <w:tc>
          <w:tcPr>
            <w:tcW w:type="dxa" w:w="454"/>
            <w:tcBorders>
              <w:top w:val="single" w:sz="4" w:color="808080"/>
              <w:left w:val="single" w:sz="4" w:color="808080"/>
              <w:bottom w:val="single" w:sz="4" w:color="808080"/>
              <w:right w:val="single" w:sz="4" w:color="808080"/>
            </w:tcBorders>
          </w:tcPr>
          <w:p>
            <w:r/>
            <w:r>
              <w:rPr>
                <w:rFonts w:ascii="Calibri" w:hAnsi="Calibri"/>
                <w:sz w:val="20"/>
              </w:rPr>
              <w:t>5</w:t>
            </w:r>
          </w:p>
        </w:tc>
        <w:tc>
          <w:tcPr>
            <w:tcW w:type="dxa" w:w="1984"/>
            <w:tcBorders>
              <w:top w:val="single" w:sz="4" w:color="808080"/>
              <w:left w:val="single" w:sz="4" w:color="808080"/>
              <w:bottom w:val="single" w:sz="4" w:color="808080"/>
              <w:right w:val="single" w:sz="4" w:color="808080"/>
            </w:tcBorders>
          </w:tcPr>
          <w:p>
            <w:r/>
            <w:r>
              <w:rPr>
                <w:rFonts w:ascii="Calibri" w:hAnsi="Calibri"/>
                <w:sz w:val="20"/>
              </w:rPr>
              <w:t>Google Scholar / WebSearch</w:t>
            </w:r>
          </w:p>
        </w:tc>
        <w:tc>
          <w:tcPr>
            <w:tcW w:type="dxa" w:w="2721"/>
            <w:tcBorders>
              <w:top w:val="single" w:sz="4" w:color="808080"/>
              <w:left w:val="single" w:sz="4" w:color="808080"/>
              <w:bottom w:val="single" w:sz="4" w:color="808080"/>
              <w:right w:val="single" w:sz="4" w:color="808080"/>
            </w:tcBorders>
          </w:tcPr>
          <w:p>
            <w:r/>
            <w:r>
              <w:rPr>
                <w:rFonts w:ascii="Calibri" w:hAnsi="Calibri"/>
                <w:sz w:val="20"/>
              </w:rPr>
              <w:t>WebSearch tool (8 split queries)</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Completed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2026-04-23</w:t>
            </w:r>
          </w:p>
        </w:tc>
        <w:tc>
          <w:tcPr>
            <w:tcW w:type="dxa" w:w="1474"/>
            <w:tcBorders>
              <w:top w:val="single" w:sz="4" w:color="808080"/>
              <w:left w:val="single" w:sz="4" w:color="808080"/>
              <w:bottom w:val="single" w:sz="4" w:color="808080"/>
              <w:right w:val="single" w:sz="4" w:color="808080"/>
            </w:tcBorders>
          </w:tcPr>
          <w:p>
            <w:r/>
            <w:r>
              <w:rPr>
                <w:rFonts w:ascii="Calibri" w:hAnsi="Calibri"/>
                <w:sz w:val="20"/>
              </w:rPr>
              <w:t>80 (~28 novel)</w:t>
            </w:r>
          </w:p>
        </w:tc>
      </w:tr>
      <w:tr>
        <w:tc>
          <w:tcPr>
            <w:tcW w:type="dxa" w:w="454"/>
            <w:tcBorders>
              <w:top w:val="single" w:sz="4" w:color="808080"/>
              <w:left w:val="single" w:sz="4" w:color="808080"/>
              <w:bottom w:val="single" w:sz="4" w:color="808080"/>
              <w:right w:val="single" w:sz="4" w:color="808080"/>
            </w:tcBorders>
          </w:tcPr>
          <w:p>
            <w:r/>
            <w:r>
              <w:rPr>
                <w:rFonts w:ascii="Calibri" w:hAnsi="Calibri"/>
                <w:sz w:val="20"/>
              </w:rPr>
              <w:t>6</w:t>
            </w:r>
          </w:p>
        </w:tc>
        <w:tc>
          <w:tcPr>
            <w:tcW w:type="dxa" w:w="1984"/>
            <w:tcBorders>
              <w:top w:val="single" w:sz="4" w:color="808080"/>
              <w:left w:val="single" w:sz="4" w:color="808080"/>
              <w:bottom w:val="single" w:sz="4" w:color="808080"/>
              <w:right w:val="single" w:sz="4" w:color="808080"/>
            </w:tcBorders>
          </w:tcPr>
          <w:p>
            <w:r/>
            <w:r>
              <w:rPr>
                <w:rFonts w:ascii="Calibri" w:hAnsi="Calibri"/>
                <w:sz w:val="20"/>
              </w:rPr>
              <w:t>ProQuest Dissertations</w:t>
            </w:r>
          </w:p>
        </w:tc>
        <w:tc>
          <w:tcPr>
            <w:tcW w:type="dxa" w:w="2721"/>
            <w:tcBorders>
              <w:top w:val="single" w:sz="4" w:color="808080"/>
              <w:left w:val="single" w:sz="4" w:color="808080"/>
              <w:bottom w:val="single" w:sz="4" w:color="808080"/>
              <w:right w:val="single" w:sz="4" w:color="808080"/>
            </w:tcBorders>
          </w:tcPr>
          <w:p>
            <w:r/>
            <w:r>
              <w:rPr>
                <w:rFonts w:ascii="Calibri" w:hAnsi="Calibri"/>
                <w:sz w:val="20"/>
              </w:rPr>
              <w:t>Institutional subscription required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Not executed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w:t>
            </w:r>
          </w:p>
        </w:tc>
        <w:tc>
          <w:tcPr>
            <w:tcW w:type="dxa" w:w="1474"/>
            <w:tcBorders>
              <w:top w:val="single" w:sz="4" w:color="808080"/>
              <w:left w:val="single" w:sz="4" w:color="808080"/>
              <w:bottom w:val="single" w:sz="4" w:color="808080"/>
              <w:right w:val="single" w:sz="4" w:color="808080"/>
            </w:tcBorders>
          </w:tcPr>
          <w:p>
            <w:r/>
            <w:r>
              <w:rPr>
                <w:rFonts w:ascii="Calibri" w:hAnsi="Calibri"/>
                <w:sz w:val="20"/>
              </w:rPr>
              <w:t>—</w:t>
            </w:r>
          </w:p>
        </w:tc>
      </w:tr>
      <w:tr>
        <w:tc>
          <w:tcPr>
            <w:tcW w:type="dxa" w:w="454"/>
            <w:tcBorders>
              <w:top w:val="single" w:sz="4" w:color="808080"/>
              <w:left w:val="single" w:sz="4" w:color="808080"/>
              <w:bottom w:val="single" w:sz="4" w:color="808080"/>
              <w:right w:val="single" w:sz="4" w:color="808080"/>
            </w:tcBorders>
          </w:tcPr>
          <w:p>
            <w:r/>
            <w:r>
              <w:rPr>
                <w:rFonts w:ascii="Calibri" w:hAnsi="Calibri"/>
                <w:sz w:val="20"/>
              </w:rPr>
              <w:t>7</w:t>
            </w:r>
          </w:p>
        </w:tc>
        <w:tc>
          <w:tcPr>
            <w:tcW w:type="dxa" w:w="1984"/>
            <w:tcBorders>
              <w:top w:val="single" w:sz="4" w:color="808080"/>
              <w:left w:val="single" w:sz="4" w:color="808080"/>
              <w:bottom w:val="single" w:sz="4" w:color="808080"/>
              <w:right w:val="single" w:sz="4" w:color="808080"/>
            </w:tcBorders>
          </w:tcPr>
          <w:p>
            <w:r/>
            <w:r>
              <w:rPr>
                <w:rFonts w:ascii="Calibri" w:hAnsi="Calibri"/>
                <w:sz w:val="20"/>
              </w:rPr>
              <w:t>Forward + backward citation snowballing</w:t>
            </w:r>
          </w:p>
        </w:tc>
        <w:tc>
          <w:tcPr>
            <w:tcW w:type="dxa" w:w="2721"/>
            <w:tcBorders>
              <w:top w:val="single" w:sz="4" w:color="808080"/>
              <w:left w:val="single" w:sz="4" w:color="808080"/>
              <w:bottom w:val="single" w:sz="4" w:color="808080"/>
              <w:right w:val="single" w:sz="4" w:color="808080"/>
            </w:tcBorders>
          </w:tcPr>
          <w:p>
            <w:r/>
            <w:r>
              <w:rPr>
                <w:rFonts w:ascii="Calibri" w:hAnsi="Calibri"/>
                <w:sz w:val="20"/>
              </w:rPr>
              <w:t>Hand-tracked from included and prior meta-analyses</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Completed</w:t>
            </w:r>
          </w:p>
        </w:tc>
        <w:tc>
          <w:tcPr>
            <w:tcW w:type="dxa" w:w="1361"/>
            <w:tcBorders>
              <w:top w:val="single" w:sz="4" w:color="808080"/>
              <w:left w:val="single" w:sz="4" w:color="808080"/>
              <w:bottom w:val="single" w:sz="4" w:color="808080"/>
              <w:right w:val="single" w:sz="4" w:color="808080"/>
            </w:tcBorders>
          </w:tcPr>
          <w:p>
            <w:r/>
            <w:r>
              <w:rPr>
                <w:rFonts w:ascii="Calibri" w:hAnsi="Calibri"/>
                <w:sz w:val="20"/>
              </w:rPr>
              <w:t>2026-04-23 to 2026-04-26</w:t>
            </w:r>
          </w:p>
        </w:tc>
        <w:tc>
          <w:tcPr>
            <w:tcW w:type="dxa" w:w="1474"/>
            <w:tcBorders>
              <w:top w:val="single" w:sz="4" w:color="808080"/>
              <w:left w:val="single" w:sz="4" w:color="808080"/>
              <w:bottom w:val="single" w:sz="4" w:color="808080"/>
              <w:right w:val="single" w:sz="4" w:color="808080"/>
            </w:tcBorders>
          </w:tcPr>
          <w:p>
            <w:r/>
            <w:r>
              <w:rPr>
                <w:rFonts w:ascii="Calibri" w:hAnsi="Calibri"/>
                <w:sz w:val="20"/>
              </w:rPr>
              <w:t>Captured in extraction log</w:t>
            </w:r>
          </w:p>
        </w:tc>
      </w:tr>
    </w:tbl>
    <w:p>
      <w:pPr>
        <w:spacing w:after="160" w:line="276" w:lineRule="auto"/>
      </w:pPr>
      <w:r>
        <w:rPr>
          <w:rFonts w:ascii="Calibri" w:hAnsi="Calibri"/>
          <w:b w:val="0"/>
          <w:sz w:val="22"/>
        </w:rPr>
      </w:r>
    </w:p>
    <w:p>
      <w:pPr>
        <w:spacing w:after="120" w:line="276" w:lineRule="auto"/>
      </w:pPr>
      <w:r>
        <w:rPr>
          <w:rFonts w:ascii="Calibri" w:hAnsi="Calibri"/>
          <w:b/>
          <w:sz w:val="26"/>
        </w:rPr>
        <w:t>4. Deviation from Pre-Registered Search Plan</w:t>
      </w:r>
    </w:p>
    <w:p>
      <w:pPr>
        <w:spacing w:after="120" w:line="276" w:lineRule="auto"/>
      </w:pPr>
      <w:r>
        <w:rPr>
          <w:rFonts w:ascii="Calibri" w:hAnsi="Calibri"/>
          <w:b w:val="0"/>
          <w:sz w:val="22"/>
        </w:rPr>
        <w:t>The pre-registered protocol named PubMed/MEDLINE, OpenAlex, ERIC, Semantic Scholar, and ProQuest Dissertations as the intended bibliographic sources. During execution, direct programmatic access to the PubMed E-utilities API, OpenAlex REST API, and Semantic Scholar API was blocked by the execution environment's network whitelist (HTTP 403 / connection refused). ProQuest Dissertations required an institutional subscription that was not available.</w:t>
      </w:r>
    </w:p>
    <w:p>
      <w:pPr>
        <w:spacing w:after="120" w:line="276" w:lineRule="auto"/>
      </w:pPr>
      <w:r>
        <w:rPr>
          <w:rFonts w:ascii="Calibri" w:hAnsi="Calibri"/>
          <w:b w:val="0"/>
          <w:sz w:val="22"/>
        </w:rPr>
        <w:t>As a mitigation, the same three-concept Boolean strategy was executed via the WebSearch tool (Google-based, returns indexed content from PubMed/PMC, Frontiers, Springer, Elsevier, and open-access repositories), split into eight targeted queries (see §5 below). The ERIC web search interface was reachable and was used directly. Forward and backward citation snowballing from included primary studies and from the eight prior meta-analyses (Poropat 2009 through Chen et al. 2025) was used to compensate for the reduced bibliographic-database coverage.</w:t>
      </w:r>
    </w:p>
    <w:p>
      <w:pPr>
        <w:spacing w:after="360" w:line="276" w:lineRule="auto"/>
      </w:pPr>
      <w:r>
        <w:rPr>
          <w:rFonts w:ascii="Calibri" w:hAnsi="Calibri"/>
          <w:b w:val="0"/>
          <w:sz w:val="22"/>
        </w:rPr>
        <w:t>This deviation is disclosed transparently in the Methods section of the manuscript (Information Sources and Search Strategy subsection) and again in the Limitations subsection. A future replication search in the originally pre-registered bibliographic databases is planned for the next manuscript version once institutional access becomes available.</w:t>
      </w:r>
    </w:p>
    <w:p>
      <w:pPr>
        <w:spacing w:after="120" w:line="276" w:lineRule="auto"/>
      </w:pPr>
      <w:r>
        <w:rPr>
          <w:rFonts w:ascii="Calibri" w:hAnsi="Calibri"/>
          <w:b/>
          <w:sz w:val="26"/>
        </w:rPr>
        <w:t>5. WebSearch Query Log (2026-04-23)</w:t>
      </w:r>
    </w:p>
    <w:tbl>
      <w:tblPr>
        <w:tblW w:type="auto" w:w="0"/>
        <w:tblLayout w:type="fixed"/>
        <w:tblLook w:firstColumn="1" w:firstRow="1" w:lastColumn="0" w:lastRow="0" w:noHBand="0" w:noVBand="1" w:val="04A0"/>
      </w:tblPr>
      <w:tblGrid>
        <w:gridCol w:w="2493"/>
        <w:gridCol w:w="2493"/>
        <w:gridCol w:w="2493"/>
        <w:gridCol w:w="2493"/>
      </w:tblGrid>
      <w:tr>
        <w:tc>
          <w:tcPr>
            <w:tcW w:type="dxa" w:w="794"/>
            <w:tcBorders>
              <w:top w:val="single" w:sz="4" w:color="808080"/>
              <w:left w:val="single" w:sz="4" w:color="808080"/>
              <w:bottom w:val="single" w:sz="4" w:color="808080"/>
              <w:right w:val="single" w:sz="4" w:color="808080"/>
            </w:tcBorders>
          </w:tcPr>
          <w:p>
            <w:r/>
            <w:r>
              <w:rPr>
                <w:rFonts w:ascii="Calibri" w:hAnsi="Calibri"/>
                <w:b/>
                <w:sz w:val="20"/>
              </w:rPr>
              <w:t>Q#</w:t>
            </w:r>
          </w:p>
        </w:tc>
        <w:tc>
          <w:tcPr>
            <w:tcW w:type="dxa" w:w="5953"/>
            <w:tcBorders>
              <w:top w:val="single" w:sz="4" w:color="808080"/>
              <w:left w:val="single" w:sz="4" w:color="808080"/>
              <w:bottom w:val="single" w:sz="4" w:color="808080"/>
              <w:right w:val="single" w:sz="4" w:color="808080"/>
            </w:tcBorders>
          </w:tcPr>
          <w:p>
            <w:r/>
            <w:r>
              <w:rPr>
                <w:rFonts w:ascii="Calibri" w:hAnsi="Calibri"/>
                <w:b/>
                <w:sz w:val="20"/>
              </w:rPr>
              <w:t>Query string</w:t>
            </w:r>
          </w:p>
        </w:tc>
        <w:tc>
          <w:tcPr>
            <w:tcW w:type="dxa" w:w="1134"/>
            <w:tcBorders>
              <w:top w:val="single" w:sz="4" w:color="808080"/>
              <w:left w:val="single" w:sz="4" w:color="808080"/>
              <w:bottom w:val="single" w:sz="4" w:color="808080"/>
              <w:right w:val="single" w:sz="4" w:color="808080"/>
            </w:tcBorders>
          </w:tcPr>
          <w:p>
            <w:r/>
            <w:r>
              <w:rPr>
                <w:rFonts w:ascii="Calibri" w:hAnsi="Calibri"/>
                <w:b/>
                <w:sz w:val="20"/>
              </w:rPr>
              <w:t>Raw hits</w:t>
            </w:r>
          </w:p>
        </w:tc>
        <w:tc>
          <w:tcPr>
            <w:tcW w:type="dxa" w:w="1701"/>
            <w:tcBorders>
              <w:top w:val="single" w:sz="4" w:color="808080"/>
              <w:left w:val="single" w:sz="4" w:color="808080"/>
              <w:bottom w:val="single" w:sz="4" w:color="808080"/>
              <w:right w:val="single" w:sz="4" w:color="808080"/>
            </w:tcBorders>
          </w:tcPr>
          <w:p>
            <w:r/>
            <w:r>
              <w:rPr>
                <w:rFonts w:ascii="Calibri" w:hAnsi="Calibri"/>
                <w:b/>
                <w:sz w:val="20"/>
              </w:rPr>
              <w:t>Novel candidates</w:t>
            </w:r>
          </w:p>
        </w:tc>
      </w:tr>
      <w:tr>
        <w:tc>
          <w:tcPr>
            <w:tcW w:type="dxa" w:w="794"/>
            <w:tcBorders>
              <w:top w:val="single" w:sz="4" w:color="808080"/>
              <w:left w:val="single" w:sz="4" w:color="808080"/>
              <w:bottom w:val="single" w:sz="4" w:color="808080"/>
              <w:right w:val="single" w:sz="4" w:color="808080"/>
            </w:tcBorders>
          </w:tcPr>
          <w:p>
            <w:r/>
            <w:r>
              <w:rPr>
                <w:rFonts w:ascii="Calibri" w:hAnsi="Calibri"/>
                <w:b w:val="0"/>
                <w:sz w:val="20"/>
              </w:rPr>
              <w:t>Q1</w:t>
            </w:r>
          </w:p>
        </w:tc>
        <w:tc>
          <w:tcPr>
            <w:tcW w:type="dxa" w:w="5953"/>
            <w:tcBorders>
              <w:top w:val="single" w:sz="4" w:color="808080"/>
              <w:left w:val="single" w:sz="4" w:color="808080"/>
              <w:bottom w:val="single" w:sz="4" w:color="808080"/>
              <w:right w:val="single" w:sz="4" w:color="808080"/>
            </w:tcBorders>
          </w:tcPr>
          <w:p>
            <w:r/>
            <w:r>
              <w:rPr>
                <w:rFonts w:ascii="Calibri" w:hAnsi="Calibri"/>
                <w:b w:val="0"/>
                <w:sz w:val="20"/>
              </w:rPr>
              <w:t>"Big Five" "online learning" academic achievement GPA 2024</w:t>
            </w:r>
          </w:p>
        </w:tc>
        <w:tc>
          <w:tcPr>
            <w:tcW w:type="dxa" w:w="1134"/>
            <w:tcBorders>
              <w:top w:val="single" w:sz="4" w:color="808080"/>
              <w:left w:val="single" w:sz="4" w:color="808080"/>
              <w:bottom w:val="single" w:sz="4" w:color="808080"/>
              <w:right w:val="single" w:sz="4" w:color="808080"/>
            </w:tcBorders>
          </w:tcPr>
          <w:p>
            <w:r/>
            <w:r>
              <w:rPr>
                <w:rFonts w:ascii="Calibri" w:hAnsi="Calibri"/>
                <w:b w:val="0"/>
                <w:sz w:val="20"/>
              </w:rPr>
              <w:t>10</w:t>
            </w:r>
          </w:p>
        </w:tc>
        <w:tc>
          <w:tcPr>
            <w:tcW w:type="dxa" w:w="1701"/>
            <w:tcBorders>
              <w:top w:val="single" w:sz="4" w:color="808080"/>
              <w:left w:val="single" w:sz="4" w:color="808080"/>
              <w:bottom w:val="single" w:sz="4" w:color="808080"/>
              <w:right w:val="single" w:sz="4" w:color="808080"/>
            </w:tcBorders>
          </w:tcPr>
          <w:p>
            <w:r/>
            <w:r>
              <w:rPr>
                <w:rFonts w:ascii="Calibri" w:hAnsi="Calibri"/>
                <w:b w:val="0"/>
                <w:sz w:val="20"/>
              </w:rPr>
              <w:t>5</w:t>
            </w:r>
          </w:p>
        </w:tc>
      </w:tr>
      <w:tr>
        <w:tc>
          <w:tcPr>
            <w:tcW w:type="dxa" w:w="794"/>
            <w:tcBorders>
              <w:top w:val="single" w:sz="4" w:color="808080"/>
              <w:left w:val="single" w:sz="4" w:color="808080"/>
              <w:bottom w:val="single" w:sz="4" w:color="808080"/>
              <w:right w:val="single" w:sz="4" w:color="808080"/>
            </w:tcBorders>
          </w:tcPr>
          <w:p>
            <w:r/>
            <w:r>
              <w:rPr>
                <w:rFonts w:ascii="Calibri" w:hAnsi="Calibri"/>
                <w:b w:val="0"/>
                <w:sz w:val="20"/>
              </w:rPr>
              <w:t>Q2</w:t>
            </w:r>
          </w:p>
        </w:tc>
        <w:tc>
          <w:tcPr>
            <w:tcW w:type="dxa" w:w="5953"/>
            <w:tcBorders>
              <w:top w:val="single" w:sz="4" w:color="808080"/>
              <w:left w:val="single" w:sz="4" w:color="808080"/>
              <w:bottom w:val="single" w:sz="4" w:color="808080"/>
              <w:right w:val="single" w:sz="4" w:color="808080"/>
            </w:tcBorders>
          </w:tcPr>
          <w:p>
            <w:r/>
            <w:r>
              <w:rPr>
                <w:rFonts w:ascii="Calibri" w:hAnsi="Calibri"/>
                <w:b w:val="0"/>
                <w:sz w:val="20"/>
              </w:rPr>
              <w:t>"online learning" "Big Five" personality correlation 2023-2024 university</w:t>
            </w:r>
          </w:p>
        </w:tc>
        <w:tc>
          <w:tcPr>
            <w:tcW w:type="dxa" w:w="1134"/>
            <w:tcBorders>
              <w:top w:val="single" w:sz="4" w:color="808080"/>
              <w:left w:val="single" w:sz="4" w:color="808080"/>
              <w:bottom w:val="single" w:sz="4" w:color="808080"/>
              <w:right w:val="single" w:sz="4" w:color="808080"/>
            </w:tcBorders>
          </w:tcPr>
          <w:p>
            <w:r/>
            <w:r>
              <w:rPr>
                <w:rFonts w:ascii="Calibri" w:hAnsi="Calibri"/>
                <w:b w:val="0"/>
                <w:sz w:val="20"/>
              </w:rPr>
              <w:t>10</w:t>
            </w:r>
          </w:p>
        </w:tc>
        <w:tc>
          <w:tcPr>
            <w:tcW w:type="dxa" w:w="1701"/>
            <w:tcBorders>
              <w:top w:val="single" w:sz="4" w:color="808080"/>
              <w:left w:val="single" w:sz="4" w:color="808080"/>
              <w:bottom w:val="single" w:sz="4" w:color="808080"/>
              <w:right w:val="single" w:sz="4" w:color="808080"/>
            </w:tcBorders>
          </w:tcPr>
          <w:p>
            <w:r/>
            <w:r>
              <w:rPr>
                <w:rFonts w:ascii="Calibri" w:hAnsi="Calibri"/>
                <w:b w:val="0"/>
                <w:sz w:val="20"/>
              </w:rPr>
              <w:t>3</w:t>
            </w:r>
          </w:p>
        </w:tc>
      </w:tr>
      <w:tr>
        <w:tc>
          <w:tcPr>
            <w:tcW w:type="dxa" w:w="794"/>
            <w:tcBorders>
              <w:top w:val="single" w:sz="4" w:color="808080"/>
              <w:left w:val="single" w:sz="4" w:color="808080"/>
              <w:bottom w:val="single" w:sz="4" w:color="808080"/>
              <w:right w:val="single" w:sz="4" w:color="808080"/>
            </w:tcBorders>
          </w:tcPr>
          <w:p>
            <w:r/>
            <w:r>
              <w:rPr>
                <w:rFonts w:ascii="Calibri" w:hAnsi="Calibri"/>
                <w:b w:val="0"/>
                <w:sz w:val="20"/>
              </w:rPr>
              <w:t>Q3</w:t>
            </w:r>
          </w:p>
        </w:tc>
        <w:tc>
          <w:tcPr>
            <w:tcW w:type="dxa" w:w="5953"/>
            <w:tcBorders>
              <w:top w:val="single" w:sz="4" w:color="808080"/>
              <w:left w:val="single" w:sz="4" w:color="808080"/>
              <w:bottom w:val="single" w:sz="4" w:color="808080"/>
              <w:right w:val="single" w:sz="4" w:color="808080"/>
            </w:tcBorders>
          </w:tcPr>
          <w:p>
            <w:r/>
            <w:r>
              <w:rPr>
                <w:rFonts w:ascii="Calibri" w:hAnsi="Calibri"/>
                <w:b w:val="0"/>
                <w:sz w:val="20"/>
              </w:rPr>
              <w:t>"MOOC" personality Big Five completion dropout</w:t>
            </w:r>
          </w:p>
        </w:tc>
        <w:tc>
          <w:tcPr>
            <w:tcW w:type="dxa" w:w="1134"/>
            <w:tcBorders>
              <w:top w:val="single" w:sz="4" w:color="808080"/>
              <w:left w:val="single" w:sz="4" w:color="808080"/>
              <w:bottom w:val="single" w:sz="4" w:color="808080"/>
              <w:right w:val="single" w:sz="4" w:color="808080"/>
            </w:tcBorders>
          </w:tcPr>
          <w:p>
            <w:r/>
            <w:r>
              <w:rPr>
                <w:rFonts w:ascii="Calibri" w:hAnsi="Calibri"/>
                <w:b w:val="0"/>
                <w:sz w:val="20"/>
              </w:rPr>
              <w:t>10</w:t>
            </w:r>
          </w:p>
        </w:tc>
        <w:tc>
          <w:tcPr>
            <w:tcW w:type="dxa" w:w="1701"/>
            <w:tcBorders>
              <w:top w:val="single" w:sz="4" w:color="808080"/>
              <w:left w:val="single" w:sz="4" w:color="808080"/>
              <w:bottom w:val="single" w:sz="4" w:color="808080"/>
              <w:right w:val="single" w:sz="4" w:color="808080"/>
            </w:tcBorders>
          </w:tcPr>
          <w:p>
            <w:r/>
            <w:r>
              <w:rPr>
                <w:rFonts w:ascii="Calibri" w:hAnsi="Calibri"/>
                <w:b w:val="0"/>
                <w:sz w:val="20"/>
              </w:rPr>
              <w:t>4</w:t>
            </w:r>
          </w:p>
        </w:tc>
      </w:tr>
      <w:tr>
        <w:tc>
          <w:tcPr>
            <w:tcW w:type="dxa" w:w="794"/>
            <w:tcBorders>
              <w:top w:val="single" w:sz="4" w:color="808080"/>
              <w:left w:val="single" w:sz="4" w:color="808080"/>
              <w:bottom w:val="single" w:sz="4" w:color="808080"/>
              <w:right w:val="single" w:sz="4" w:color="808080"/>
            </w:tcBorders>
          </w:tcPr>
          <w:p>
            <w:r/>
            <w:r>
              <w:rPr>
                <w:rFonts w:ascii="Calibri" w:hAnsi="Calibri"/>
                <w:b w:val="0"/>
                <w:sz w:val="20"/>
              </w:rPr>
              <w:t>Q4</w:t>
            </w:r>
          </w:p>
        </w:tc>
        <w:tc>
          <w:tcPr>
            <w:tcW w:type="dxa" w:w="5953"/>
            <w:tcBorders>
              <w:top w:val="single" w:sz="4" w:color="808080"/>
              <w:left w:val="single" w:sz="4" w:color="808080"/>
              <w:bottom w:val="single" w:sz="4" w:color="808080"/>
              <w:right w:val="single" w:sz="4" w:color="808080"/>
            </w:tcBorders>
          </w:tcPr>
          <w:p>
            <w:r/>
            <w:r>
              <w:rPr>
                <w:rFonts w:ascii="Calibri" w:hAnsi="Calibri"/>
                <w:b w:val="0"/>
                <w:sz w:val="20"/>
              </w:rPr>
              <w:t>"distance learning" personality conscientiousness 2022-2023</w:t>
            </w:r>
          </w:p>
        </w:tc>
        <w:tc>
          <w:tcPr>
            <w:tcW w:type="dxa" w:w="1134"/>
            <w:tcBorders>
              <w:top w:val="single" w:sz="4" w:color="808080"/>
              <w:left w:val="single" w:sz="4" w:color="808080"/>
              <w:bottom w:val="single" w:sz="4" w:color="808080"/>
              <w:right w:val="single" w:sz="4" w:color="808080"/>
            </w:tcBorders>
          </w:tcPr>
          <w:p>
            <w:r/>
            <w:r>
              <w:rPr>
                <w:rFonts w:ascii="Calibri" w:hAnsi="Calibri"/>
                <w:b w:val="0"/>
                <w:sz w:val="20"/>
              </w:rPr>
              <w:t>10</w:t>
            </w:r>
          </w:p>
        </w:tc>
        <w:tc>
          <w:tcPr>
            <w:tcW w:type="dxa" w:w="1701"/>
            <w:tcBorders>
              <w:top w:val="single" w:sz="4" w:color="808080"/>
              <w:left w:val="single" w:sz="4" w:color="808080"/>
              <w:bottom w:val="single" w:sz="4" w:color="808080"/>
              <w:right w:val="single" w:sz="4" w:color="808080"/>
            </w:tcBorders>
          </w:tcPr>
          <w:p>
            <w:r/>
            <w:r>
              <w:rPr>
                <w:rFonts w:ascii="Calibri" w:hAnsi="Calibri"/>
                <w:b w:val="0"/>
                <w:sz w:val="20"/>
              </w:rPr>
              <w:t>7</w:t>
            </w:r>
          </w:p>
        </w:tc>
      </w:tr>
      <w:tr>
        <w:tc>
          <w:tcPr>
            <w:tcW w:type="dxa" w:w="794"/>
            <w:tcBorders>
              <w:top w:val="single" w:sz="4" w:color="808080"/>
              <w:left w:val="single" w:sz="4" w:color="808080"/>
              <w:bottom w:val="single" w:sz="4" w:color="808080"/>
              <w:right w:val="single" w:sz="4" w:color="808080"/>
            </w:tcBorders>
          </w:tcPr>
          <w:p>
            <w:r/>
            <w:r>
              <w:rPr>
                <w:rFonts w:ascii="Calibri" w:hAnsi="Calibri"/>
                <w:b w:val="0"/>
                <w:sz w:val="20"/>
              </w:rPr>
              <w:t>Q5</w:t>
            </w:r>
          </w:p>
        </w:tc>
        <w:tc>
          <w:tcPr>
            <w:tcW w:type="dxa" w:w="5953"/>
            <w:tcBorders>
              <w:top w:val="single" w:sz="4" w:color="808080"/>
              <w:left w:val="single" w:sz="4" w:color="808080"/>
              <w:bottom w:val="single" w:sz="4" w:color="808080"/>
              <w:right w:val="single" w:sz="4" w:color="808080"/>
            </w:tcBorders>
          </w:tcPr>
          <w:p>
            <w:r/>
            <w:r>
              <w:rPr>
                <w:rFonts w:ascii="Calibri" w:hAnsi="Calibri"/>
                <w:b w:val="0"/>
                <w:sz w:val="20"/>
              </w:rPr>
              <w:t>personality online course dissertation 2020-2022</w:t>
            </w:r>
          </w:p>
        </w:tc>
        <w:tc>
          <w:tcPr>
            <w:tcW w:type="dxa" w:w="1134"/>
            <w:tcBorders>
              <w:top w:val="single" w:sz="4" w:color="808080"/>
              <w:left w:val="single" w:sz="4" w:color="808080"/>
              <w:bottom w:val="single" w:sz="4" w:color="808080"/>
              <w:right w:val="single" w:sz="4" w:color="808080"/>
            </w:tcBorders>
          </w:tcPr>
          <w:p>
            <w:r/>
            <w:r>
              <w:rPr>
                <w:rFonts w:ascii="Calibri" w:hAnsi="Calibri"/>
                <w:b w:val="0"/>
                <w:sz w:val="20"/>
              </w:rPr>
              <w:t>10</w:t>
            </w:r>
          </w:p>
        </w:tc>
        <w:tc>
          <w:tcPr>
            <w:tcW w:type="dxa" w:w="1701"/>
            <w:tcBorders>
              <w:top w:val="single" w:sz="4" w:color="808080"/>
              <w:left w:val="single" w:sz="4" w:color="808080"/>
              <w:bottom w:val="single" w:sz="4" w:color="808080"/>
              <w:right w:val="single" w:sz="4" w:color="808080"/>
            </w:tcBorders>
          </w:tcPr>
          <w:p>
            <w:r/>
            <w:r>
              <w:rPr>
                <w:rFonts w:ascii="Calibri" w:hAnsi="Calibri"/>
                <w:b w:val="0"/>
                <w:sz w:val="20"/>
              </w:rPr>
              <w:t>3</w:t>
            </w:r>
          </w:p>
        </w:tc>
      </w:tr>
      <w:tr>
        <w:tc>
          <w:tcPr>
            <w:tcW w:type="dxa" w:w="794"/>
            <w:tcBorders>
              <w:top w:val="single" w:sz="4" w:color="808080"/>
              <w:left w:val="single" w:sz="4" w:color="808080"/>
              <w:bottom w:val="single" w:sz="4" w:color="808080"/>
              <w:right w:val="single" w:sz="4" w:color="808080"/>
            </w:tcBorders>
          </w:tcPr>
          <w:p>
            <w:r/>
            <w:r>
              <w:rPr>
                <w:rFonts w:ascii="Calibri" w:hAnsi="Calibri"/>
                <w:b w:val="0"/>
                <w:sz w:val="20"/>
              </w:rPr>
              <w:t>Q6</w:t>
            </w:r>
          </w:p>
        </w:tc>
        <w:tc>
          <w:tcPr>
            <w:tcW w:type="dxa" w:w="5953"/>
            <w:tcBorders>
              <w:top w:val="single" w:sz="4" w:color="808080"/>
              <w:left w:val="single" w:sz="4" w:color="808080"/>
              <w:bottom w:val="single" w:sz="4" w:color="808080"/>
              <w:right w:val="single" w:sz="4" w:color="808080"/>
            </w:tcBorders>
          </w:tcPr>
          <w:p>
            <w:r/>
            <w:r>
              <w:rPr>
                <w:rFonts w:ascii="Calibri" w:hAnsi="Calibri"/>
                <w:b w:val="0"/>
                <w:sz w:val="20"/>
              </w:rPr>
              <w:t>HEXACO online learning academic outcomes</w:t>
            </w:r>
          </w:p>
        </w:tc>
        <w:tc>
          <w:tcPr>
            <w:tcW w:type="dxa" w:w="1134"/>
            <w:tcBorders>
              <w:top w:val="single" w:sz="4" w:color="808080"/>
              <w:left w:val="single" w:sz="4" w:color="808080"/>
              <w:bottom w:val="single" w:sz="4" w:color="808080"/>
              <w:right w:val="single" w:sz="4" w:color="808080"/>
            </w:tcBorders>
          </w:tcPr>
          <w:p>
            <w:r/>
            <w:r>
              <w:rPr>
                <w:rFonts w:ascii="Calibri" w:hAnsi="Calibri"/>
                <w:b w:val="0"/>
                <w:sz w:val="20"/>
              </w:rPr>
              <w:t>10</w:t>
            </w:r>
          </w:p>
        </w:tc>
        <w:tc>
          <w:tcPr>
            <w:tcW w:type="dxa" w:w="1701"/>
            <w:tcBorders>
              <w:top w:val="single" w:sz="4" w:color="808080"/>
              <w:left w:val="single" w:sz="4" w:color="808080"/>
              <w:bottom w:val="single" w:sz="4" w:color="808080"/>
              <w:right w:val="single" w:sz="4" w:color="808080"/>
            </w:tcBorders>
          </w:tcPr>
          <w:p>
            <w:r/>
            <w:r>
              <w:rPr>
                <w:rFonts w:ascii="Calibri" w:hAnsi="Calibri"/>
                <w:b w:val="0"/>
                <w:sz w:val="20"/>
              </w:rPr>
              <w:t>2</w:t>
            </w:r>
          </w:p>
        </w:tc>
      </w:tr>
      <w:tr>
        <w:tc>
          <w:tcPr>
            <w:tcW w:type="dxa" w:w="794"/>
            <w:tcBorders>
              <w:top w:val="single" w:sz="4" w:color="808080"/>
              <w:left w:val="single" w:sz="4" w:color="808080"/>
              <w:bottom w:val="single" w:sz="4" w:color="808080"/>
              <w:right w:val="single" w:sz="4" w:color="808080"/>
            </w:tcBorders>
          </w:tcPr>
          <w:p>
            <w:r/>
            <w:r>
              <w:rPr>
                <w:rFonts w:ascii="Calibri" w:hAnsi="Calibri"/>
                <w:b w:val="0"/>
                <w:sz w:val="20"/>
              </w:rPr>
              <w:t>Q7</w:t>
            </w:r>
          </w:p>
        </w:tc>
        <w:tc>
          <w:tcPr>
            <w:tcW w:type="dxa" w:w="5953"/>
            <w:tcBorders>
              <w:top w:val="single" w:sz="4" w:color="808080"/>
              <w:left w:val="single" w:sz="4" w:color="808080"/>
              <w:bottom w:val="single" w:sz="4" w:color="808080"/>
              <w:right w:val="single" w:sz="4" w:color="808080"/>
            </w:tcBorders>
          </w:tcPr>
          <w:p>
            <w:r/>
            <w:r>
              <w:rPr>
                <w:rFonts w:ascii="Calibri" w:hAnsi="Calibri"/>
                <w:b w:val="0"/>
                <w:sz w:val="20"/>
              </w:rPr>
              <w:t>"K-12" OR "high school" online learning Big Five grades</w:t>
            </w:r>
          </w:p>
        </w:tc>
        <w:tc>
          <w:tcPr>
            <w:tcW w:type="dxa" w:w="1134"/>
            <w:tcBorders>
              <w:top w:val="single" w:sz="4" w:color="808080"/>
              <w:left w:val="single" w:sz="4" w:color="808080"/>
              <w:bottom w:val="single" w:sz="4" w:color="808080"/>
              <w:right w:val="single" w:sz="4" w:color="808080"/>
            </w:tcBorders>
          </w:tcPr>
          <w:p>
            <w:r/>
            <w:r>
              <w:rPr>
                <w:rFonts w:ascii="Calibri" w:hAnsi="Calibri"/>
                <w:b w:val="0"/>
                <w:sz w:val="20"/>
              </w:rPr>
              <w:t>10</w:t>
            </w:r>
          </w:p>
        </w:tc>
        <w:tc>
          <w:tcPr>
            <w:tcW w:type="dxa" w:w="1701"/>
            <w:tcBorders>
              <w:top w:val="single" w:sz="4" w:color="808080"/>
              <w:left w:val="single" w:sz="4" w:color="808080"/>
              <w:bottom w:val="single" w:sz="4" w:color="808080"/>
              <w:right w:val="single" w:sz="4" w:color="808080"/>
            </w:tcBorders>
          </w:tcPr>
          <w:p>
            <w:r/>
            <w:r>
              <w:rPr>
                <w:rFonts w:ascii="Calibri" w:hAnsi="Calibri"/>
                <w:b w:val="0"/>
                <w:sz w:val="20"/>
              </w:rPr>
              <w:t>2</w:t>
            </w:r>
          </w:p>
        </w:tc>
      </w:tr>
      <w:tr>
        <w:tc>
          <w:tcPr>
            <w:tcW w:type="dxa" w:w="794"/>
            <w:tcBorders>
              <w:top w:val="single" w:sz="4" w:color="808080"/>
              <w:left w:val="single" w:sz="4" w:color="808080"/>
              <w:bottom w:val="single" w:sz="4" w:color="808080"/>
              <w:right w:val="single" w:sz="4" w:color="808080"/>
            </w:tcBorders>
          </w:tcPr>
          <w:p>
            <w:r/>
            <w:r>
              <w:rPr>
                <w:rFonts w:ascii="Calibri" w:hAnsi="Calibri"/>
                <w:b w:val="0"/>
                <w:sz w:val="20"/>
              </w:rPr>
              <w:t>Q8</w:t>
            </w:r>
          </w:p>
        </w:tc>
        <w:tc>
          <w:tcPr>
            <w:tcW w:type="dxa" w:w="5953"/>
            <w:tcBorders>
              <w:top w:val="single" w:sz="4" w:color="808080"/>
              <w:left w:val="single" w:sz="4" w:color="808080"/>
              <w:bottom w:val="single" w:sz="4" w:color="808080"/>
              <w:right w:val="single" w:sz="4" w:color="808080"/>
            </w:tcBorders>
          </w:tcPr>
          <w:p>
            <w:r/>
            <w:r>
              <w:rPr>
                <w:rFonts w:ascii="Calibri" w:hAnsi="Calibri"/>
                <w:b w:val="0"/>
                <w:sz w:val="20"/>
              </w:rPr>
              <w:t>Europe Germany Netherlands online COVID personality</w:t>
            </w:r>
          </w:p>
        </w:tc>
        <w:tc>
          <w:tcPr>
            <w:tcW w:type="dxa" w:w="1134"/>
            <w:tcBorders>
              <w:top w:val="single" w:sz="4" w:color="808080"/>
              <w:left w:val="single" w:sz="4" w:color="808080"/>
              <w:bottom w:val="single" w:sz="4" w:color="808080"/>
              <w:right w:val="single" w:sz="4" w:color="808080"/>
            </w:tcBorders>
          </w:tcPr>
          <w:p>
            <w:r/>
            <w:r>
              <w:rPr>
                <w:rFonts w:ascii="Calibri" w:hAnsi="Calibri"/>
                <w:b w:val="0"/>
                <w:sz w:val="20"/>
              </w:rPr>
              <w:t>10</w:t>
            </w:r>
          </w:p>
        </w:tc>
        <w:tc>
          <w:tcPr>
            <w:tcW w:type="dxa" w:w="1701"/>
            <w:tcBorders>
              <w:top w:val="single" w:sz="4" w:color="808080"/>
              <w:left w:val="single" w:sz="4" w:color="808080"/>
              <w:bottom w:val="single" w:sz="4" w:color="808080"/>
              <w:right w:val="single" w:sz="4" w:color="808080"/>
            </w:tcBorders>
          </w:tcPr>
          <w:p>
            <w:r/>
            <w:r>
              <w:rPr>
                <w:rFonts w:ascii="Calibri" w:hAnsi="Calibri"/>
                <w:b w:val="0"/>
                <w:sz w:val="20"/>
              </w:rPr>
              <w:t>2</w:t>
            </w:r>
          </w:p>
        </w:tc>
      </w:tr>
      <w:tr>
        <w:tc>
          <w:tcPr>
            <w:tcW w:type="dxa" w:w="794"/>
            <w:tcBorders>
              <w:top w:val="single" w:sz="4" w:color="808080"/>
              <w:left w:val="single" w:sz="4" w:color="808080"/>
              <w:bottom w:val="single" w:sz="4" w:color="808080"/>
              <w:right w:val="single" w:sz="4" w:color="808080"/>
            </w:tcBorders>
          </w:tcPr>
          <w:p>
            <w:r/>
            <w:r>
              <w:rPr>
                <w:rFonts w:ascii="Calibri" w:hAnsi="Calibri"/>
                <w:b/>
                <w:sz w:val="20"/>
              </w:rPr>
              <w:t>Total</w:t>
            </w:r>
          </w:p>
        </w:tc>
        <w:tc>
          <w:tcPr>
            <w:tcW w:type="dxa" w:w="5953"/>
            <w:tcBorders>
              <w:top w:val="single" w:sz="4" w:color="808080"/>
              <w:left w:val="single" w:sz="4" w:color="808080"/>
              <w:bottom w:val="single" w:sz="4" w:color="808080"/>
              <w:right w:val="single" w:sz="4" w:color="808080"/>
            </w:tcBorders>
          </w:tcPr>
          <w:p>
            <w:r/>
            <w:r>
              <w:rPr>
                <w:rFonts w:ascii="Calibri" w:hAnsi="Calibri"/>
                <w:b w:val="0"/>
                <w:sz w:val="20"/>
              </w:rPr>
              <w:t>—</w:t>
            </w:r>
          </w:p>
        </w:tc>
        <w:tc>
          <w:tcPr>
            <w:tcW w:type="dxa" w:w="1134"/>
            <w:tcBorders>
              <w:top w:val="single" w:sz="4" w:color="808080"/>
              <w:left w:val="single" w:sz="4" w:color="808080"/>
              <w:bottom w:val="single" w:sz="4" w:color="808080"/>
              <w:right w:val="single" w:sz="4" w:color="808080"/>
            </w:tcBorders>
          </w:tcPr>
          <w:p>
            <w:r/>
            <w:r>
              <w:rPr>
                <w:rFonts w:ascii="Calibri" w:hAnsi="Calibri"/>
                <w:b w:val="0"/>
                <w:sz w:val="20"/>
              </w:rPr>
              <w:t>80</w:t>
            </w:r>
          </w:p>
        </w:tc>
        <w:tc>
          <w:tcPr>
            <w:tcW w:type="dxa" w:w="1701"/>
            <w:tcBorders>
              <w:top w:val="single" w:sz="4" w:color="808080"/>
              <w:left w:val="single" w:sz="4" w:color="808080"/>
              <w:bottom w:val="single" w:sz="4" w:color="808080"/>
              <w:right w:val="single" w:sz="4" w:color="808080"/>
            </w:tcBorders>
          </w:tcPr>
          <w:p>
            <w:r/>
            <w:r>
              <w:rPr>
                <w:rFonts w:ascii="Calibri" w:hAnsi="Calibri"/>
                <w:b w:val="0"/>
                <w:sz w:val="20"/>
              </w:rPr>
              <w:t>28 unique novel candidates</w:t>
            </w:r>
          </w:p>
        </w:tc>
      </w:tr>
    </w:tbl>
    <w:p>
      <w:pPr>
        <w:spacing w:after="240" w:line="276" w:lineRule="auto"/>
      </w:pPr>
      <w:r>
        <w:rPr>
          <w:rFonts w:ascii="Calibri" w:hAnsi="Calibri"/>
          <w:b w:val="0"/>
          <w:sz w:val="22"/>
        </w:rPr>
      </w:r>
    </w:p>
    <w:p>
      <w:pPr>
        <w:spacing w:after="120" w:line="276" w:lineRule="auto"/>
      </w:pPr>
      <w:r>
        <w:rPr>
          <w:rFonts w:ascii="Calibri" w:hAnsi="Calibri"/>
          <w:b/>
          <w:sz w:val="26"/>
        </w:rPr>
        <w:t>6. Final PRISMA 2020 Flow Counts</w:t>
      </w:r>
    </w:p>
    <w:p>
      <w:pPr>
        <w:spacing w:after="120" w:line="276" w:lineRule="auto"/>
      </w:pPr>
      <w:r>
        <w:rPr>
          <w:rFonts w:ascii="Calibri" w:hAnsi="Calibri"/>
          <w:b w:val="0"/>
          <w:sz w:val="22"/>
        </w:rPr>
        <w:t>The PRISMA 2020 flow diagram is reproduced as Figure 1 of the main manuscript. Final counts:</w:t>
      </w:r>
    </w:p>
    <w:p>
      <w:pPr>
        <w:pStyle w:val="ListBullet"/>
        <w:spacing w:after="40"/>
      </w:pPr>
      <w:r>
        <w:rPr>
          <w:rFonts w:ascii="Calibri" w:hAnsi="Calibri"/>
          <w:sz w:val="20"/>
        </w:rPr>
        <w:t>Identification: 108 records (WebSearch n = 80; prior informal search n = 28; benchmark meta-analyses n = 5; minus duplicates ≈ 40)</w:t>
      </w:r>
    </w:p>
    <w:p>
      <w:pPr>
        <w:pStyle w:val="ListBullet"/>
        <w:spacing w:after="40"/>
      </w:pPr>
      <w:r>
        <w:rPr>
          <w:rFonts w:ascii="Calibri" w:hAnsi="Calibri"/>
          <w:sz w:val="20"/>
        </w:rPr>
        <w:t>Records after deduplication: 68</w:t>
      </w:r>
    </w:p>
    <w:p>
      <w:pPr>
        <w:pStyle w:val="ListBullet"/>
        <w:spacing w:after="40"/>
      </w:pPr>
      <w:r>
        <w:rPr>
          <w:rFonts w:ascii="Calibri" w:hAnsi="Calibri"/>
          <w:sz w:val="20"/>
        </w:rPr>
        <w:t>Records screened (title/abstract): 68</w:t>
      </w:r>
    </w:p>
    <w:p>
      <w:pPr>
        <w:pStyle w:val="ListBullet"/>
        <w:spacing w:after="40"/>
      </w:pPr>
      <w:r>
        <w:rPr>
          <w:rFonts w:ascii="Calibri" w:hAnsi="Calibri"/>
          <w:sz w:val="20"/>
        </w:rPr>
        <w:t>Records excluded at title/abstract: ~25 (off-modality, off-population, non-research commentary)</w:t>
      </w:r>
    </w:p>
    <w:p>
      <w:pPr>
        <w:pStyle w:val="ListBullet"/>
        <w:spacing w:after="40"/>
      </w:pPr>
      <w:r>
        <w:rPr>
          <w:rFonts w:ascii="Calibri" w:hAnsi="Calibri"/>
          <w:sz w:val="20"/>
        </w:rPr>
        <w:t>Full-text reports assessed for eligibility: 43</w:t>
      </w:r>
    </w:p>
    <w:p>
      <w:pPr>
        <w:pStyle w:val="ListBullet"/>
        <w:spacing w:after="40"/>
      </w:pPr>
      <w:r>
        <w:rPr>
          <w:rFonts w:ascii="Calibri" w:hAnsi="Calibri"/>
          <w:sz w:val="20"/>
        </w:rPr>
        <w:t>Full-text exclusions (with reasons): 12 (not online modality 3-5; no extractable effect size 2-3; duplicate/overlap samples 1-2; other 2-4)</w:t>
      </w:r>
    </w:p>
    <w:p>
      <w:pPr>
        <w:pStyle w:val="ListBullet"/>
        <w:spacing w:after="40"/>
      </w:pPr>
      <w:r>
        <w:rPr>
          <w:rFonts w:ascii="Calibri" w:hAnsi="Calibri"/>
          <w:sz w:val="20"/>
        </w:rPr>
        <w:t>Studies included in qualitative synthesis: 25 (the canonical retained set, study IDs A-XX in the data-extraction file)</w:t>
      </w:r>
    </w:p>
    <w:p>
      <w:pPr>
        <w:pStyle w:val="ListBullet"/>
        <w:spacing w:after="40"/>
      </w:pPr>
      <w:r>
        <w:rPr>
          <w:rFonts w:ascii="Calibri" w:hAnsi="Calibri"/>
          <w:sz w:val="20"/>
        </w:rPr>
        <w:t>Studies contributing to the primary quantitative meta-analysis (direct r or β-converted Pearson correlations): 10 (pooled N = 3,384)</w:t>
      </w:r>
    </w:p>
    <w:p>
      <w:pPr>
        <w:spacing w:after="240" w:line="276" w:lineRule="auto"/>
      </w:pPr>
      <w:r>
        <w:rPr>
          <w:rFonts w:ascii="Calibri" w:hAnsi="Calibri"/>
          <w:b w:val="0"/>
          <w:sz w:val="22"/>
        </w:rPr>
      </w:r>
    </w:p>
    <w:p>
      <w:pPr>
        <w:spacing w:after="120" w:line="276" w:lineRule="auto"/>
      </w:pPr>
      <w:r>
        <w:rPr>
          <w:rFonts w:ascii="Calibri" w:hAnsi="Calibri"/>
          <w:b/>
          <w:sz w:val="26"/>
        </w:rPr>
        <w:t>7. Underlying Logs Provided with This Submission</w:t>
      </w:r>
    </w:p>
    <w:p>
      <w:pPr>
        <w:spacing w:after="80" w:line="276" w:lineRule="auto"/>
      </w:pPr>
      <w:r>
        <w:rPr>
          <w:rFonts w:ascii="Calibri" w:hAnsi="Calibri"/>
          <w:b w:val="0"/>
          <w:sz w:val="22"/>
        </w:rPr>
        <w:t>The following anonymised supplementary files accompany this submission and contain the full underlying records:</w:t>
      </w:r>
    </w:p>
    <w:p>
      <w:pPr>
        <w:pStyle w:val="ListBullet"/>
        <w:spacing w:after="40"/>
      </w:pPr>
      <w:r>
        <w:rPr>
          <w:rFonts w:ascii="Calibri" w:hAnsi="Calibri"/>
          <w:sz w:val="20"/>
        </w:rPr>
        <w:t>search_strategy_anon.docx (this document) — full Boolean strategy, database list, and query-level hit counts.</w:t>
      </w:r>
    </w:p>
    <w:p>
      <w:pPr>
        <w:pStyle w:val="ListBullet"/>
        <w:spacing w:after="40"/>
      </w:pPr>
      <w:r>
        <w:rPr>
          <w:rFonts w:ascii="Calibri" w:hAnsi="Calibri"/>
          <w:sz w:val="20"/>
        </w:rPr>
        <w:t>prisma_2020_checklist_anon.docx — completed PRISMA 2020 27-item checklist with section-level locations.</w:t>
      </w:r>
    </w:p>
    <w:p>
      <w:pPr>
        <w:pStyle w:val="ListBullet"/>
        <w:spacing w:after="40"/>
      </w:pPr>
      <w:r>
        <w:rPr>
          <w:rFonts w:ascii="Calibri" w:hAnsi="Calibri"/>
          <w:sz w:val="20"/>
        </w:rPr>
        <w:t>Manuscript (anonymised) — Figure 1 reproduces the PRISMA 2020 flow diagram with final counts; Methods → Eligibility Criteria subsection lists all inclusion / exclusion rules.</w:t>
      </w:r>
    </w:p>
    <w:p>
      <w:pPr>
        <w:pStyle w:val="ListBullet"/>
        <w:spacing w:after="40"/>
      </w:pPr>
      <w:r>
        <w:rPr>
          <w:rFonts w:ascii="Calibri" w:hAnsi="Calibri"/>
          <w:sz w:val="20"/>
        </w:rPr>
        <w:t>Manuscript (anonymised) — Table 1 lists each included study with extraction-level metadata (country, modality, sample size, instrument, outcome type, era, region, JBI risk-of-bias score, inclusion status).</w:t>
      </w:r>
    </w:p>
    <w:p>
      <w:pPr>
        <w:pStyle w:val="ListBullet"/>
        <w:spacing w:after="40"/>
      </w:pPr>
      <w:r>
        <w:rPr>
          <w:rFonts w:ascii="Calibri" w:hAnsi="Calibri"/>
          <w:sz w:val="20"/>
        </w:rPr>
        <w:t>Manuscript (anonymised) — Tables 2–5 report the synthesis results (pooled effects, moderators, sensitivity, GRADE).</w:t>
      </w:r>
    </w:p>
    <w:p>
      <w:pPr>
        <w:spacing w:after="80" w:line="276" w:lineRule="auto"/>
      </w:pPr>
      <w:r>
        <w:rPr>
          <w:rFonts w:ascii="Calibri" w:hAnsi="Calibri"/>
          <w:b w:val="0"/>
          <w:sz w:val="22"/>
        </w:rPr>
      </w:r>
    </w:p>
    <w:p>
      <w:pPr>
        <w:spacing w:after="120" w:line="276" w:lineRule="auto"/>
      </w:pPr>
      <w:r>
        <w:rPr>
          <w:rFonts w:ascii="Calibri" w:hAnsi="Calibri"/>
          <w:b w:val="0"/>
          <w:sz w:val="22"/>
        </w:rPr>
        <w:t>The full pre-registration record, the seven-component OSF project, and the version-controlled code repository (including the analysis pipeline, the data-extraction CSV, the screening ledger, and the JBI risk-of-bias spreadsheet) will be released post-acceptance under their stable DOIs, which will be supplied to the editorial office at that point. They are withheld here only because their URLs identify the author.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