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1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PRISMA 2020 Flow Diagram of the Study Selection Process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2514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514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>Note. Flow diagram adapted from the PRISMA 2020 statement (Page et al., 2021). Records were identified through WebSearch-based formal search (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80 from eight structured queries), preliminary informal search yielding a previously curated corpus (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28), and citation snowballing combined with open-access repository downloads (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12), for a total of 120 records. After deduplication (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40 removed), 80 records underwent title and abstract screening, with 25 excluded primarily for wrong population, non-Big-Five personality frameworks, or no online learning component. Of 43 full-text reports sought, 5 were not retrievable (paywall), and 38 were assessed for eligibility. Eleven reports were excluded at the full-text stage with explicit reasons: non-Big-Five framework (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5; MBTI, Proactive Personality, TAM, TUE, and other non-FFM operationalization), face-to-face modality (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4; A-09 Bhattacharjee &amp; Ramkumar, 2025; A-10 Boonyapison et al., 2025; A-14 Eilam et al., 2009; A-16 Hidalgo-Fuentes et al., 2024), sample overlap with an already-included study (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1; A-05 Audet et al., 2023 overlapped with A-04 Audet et al., 2021), and effect size not extractable (</w:t>
      </w:r>
      <w:r>
        <w:rPr>
          <w:rFonts w:ascii="Times New Roman" w:hAnsi="Times New Roman" w:eastAsia="Times New Roman"/>
          <w:i/>
          <w:sz w:val="24"/>
        </w:rPr>
        <w:t>n</w:t>
      </w:r>
      <w:r>
        <w:rPr>
          <w:rFonts w:ascii="Times New Roman" w:hAnsi="Times New Roman" w:eastAsia="Times New Roman"/>
          <w:sz w:val="24"/>
        </w:rPr>
        <w:t xml:space="preserve"> = 1; A-24 Tlili et al., 2023, lag sequential analysis). The remaining studies, supplemented by four newly identified primary studies (A-29 Bahçekapılı &amp; Karaman, 2020; A-30 Kaspar et al., 2023; A-31 Rivers, 2021; A-37 Zheng &amp; Zheng, 2023), yielded 31 primary studies catalogued in this review (Table 1). Of these, 25 were retained for qualitative synthesis, and 10 contributed direct Pearson correlations or β-converted effect sizes to the primary quantitative achievement pool (with two studies — A-28 Yu, 2021 and A-30 Kaspar et al., 2023 — providing β-converted effect sizes via Peterson and Brown's, 2005, approximation). The remaining 15 retained studies contributed only to secondary-outcome narrative synthesis.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2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Forest Plot: Conscientiousness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20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2"/>
        </w:rPr>
        <w:t xml:space="preserve">Note. </w:t>
      </w:r>
      <w:r>
        <w:rPr>
          <w:rFonts w:ascii="Times New Roman" w:hAnsi="Times New Roman"/>
          <w:sz w:val="22"/>
        </w:rPr>
        <w:t>Forest plot of study-level Pearson correlations between Conscientiousness and academic achievement in online learning environments. Each square represents a study; square size is proportional to the inverse-variance weight. Horizontal bars show 95% confidence intervals. The red diamond represents the random-effects REML pooled estimate with HKSJ 95% confidence interval. Studies are sorted by effect size (descending). See Table 2 for pooled statistics.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3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Forest Plot: Agreeableness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39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2"/>
        </w:rPr>
        <w:t xml:space="preserve">Note. </w:t>
      </w:r>
      <w:r>
        <w:rPr>
          <w:rFonts w:ascii="Times New Roman" w:hAnsi="Times New Roman"/>
          <w:sz w:val="22"/>
        </w:rPr>
        <w:t>Forest plot of study-level Pearson correlations between Agreeableness and academic achievement in online learning environments. Each square represents a study; square size is proportional to the inverse-variance weight. Horizontal bars show 95% confidence intervals. The red diamond represents the random-effects REML pooled estimate with HKSJ 95% confidence interval. Studies are sorted by effect size (descending). See Table 2 for pooled statistics.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4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Forest Plot: Openness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39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2"/>
        </w:rPr>
        <w:t xml:space="preserve">Note. </w:t>
      </w:r>
      <w:r>
        <w:rPr>
          <w:rFonts w:ascii="Times New Roman" w:hAnsi="Times New Roman"/>
          <w:sz w:val="22"/>
        </w:rPr>
        <w:t>Forest plot of study-level Pearson correlations between Openness and academic achievement in online learning environments. Each square represents a study; square size is proportional to the inverse-variance weight. Horizontal bars show 95% confidence intervals. The red diamond represents the random-effects REML pooled estimate with HKSJ 95% confidence interval. Studies are sorted by effect size (descending). See Table 2 for pooled statistics.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5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Forest Plot: Neuroticism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207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2"/>
        </w:rPr>
        <w:t xml:space="preserve">Note. </w:t>
      </w:r>
      <w:r>
        <w:rPr>
          <w:rFonts w:ascii="Times New Roman" w:hAnsi="Times New Roman"/>
          <w:sz w:val="22"/>
        </w:rPr>
        <w:t>Forest plot of study-level Pearson correlations between Neuroticism and academic achievement in online learning environments. Each square represents a study; square size is proportional to the inverse-variance weight. Horizontal bars show 95% confidence intervals. The red diamond represents the random-effects REML pooled estimate with HKSJ 95% confidence interval. Studies are sorted by effect size (descending). See Table 2 for pooled statistics.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6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Forest Plot: Extraversion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39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est_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2"/>
        </w:rPr>
        <w:t xml:space="preserve">Note. </w:t>
      </w:r>
      <w:r>
        <w:rPr>
          <w:rFonts w:ascii="Times New Roman" w:hAnsi="Times New Roman"/>
          <w:sz w:val="22"/>
        </w:rPr>
        <w:t>Forest plot of study-level Pearson correlations between Extraversion and academic achievement in online learning environments. Each square represents a study; square size is proportional to the inverse-variance weight. Horizontal bars show 95% confidence intervals. The red diamond represents the random-effects REML pooled estimate with HKSJ 95% confidence interval. Studies are sorted by effect size (descending). See Table 2 for pooled statistics.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7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Funnel Plot: Conscientiousness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0939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9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Funnel plot of Pearson correlations between Conscientiousness and academic achievement in online learning environments. Points represent individual studies. The vertical dashed red line indicates the random-effects pooled correlation. Diagonal dashed lines represent pseudo-95% confidence bounds under the assumption of no heterogeneity. Asymmetric dispersion may suggest small-study effects or publication bias. Egger's test results: intercept = 2.14,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= .094. See Table 4 for full publication-bias assessment.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8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Funnel Plot: Agreeableness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093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9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Funnel plot of Pearson correlations between Agreeableness and academic achievement in online learning environments. Points represent individual studies. The vertical dashed red line indicates the random-effects pooled correlation. Diagonal dashed lines represent pseudo-95% confidence bounds under the assumption of no heterogeneity. Asymmetric dispersion may suggest small-study effects or publication bias. Egger's test results: intercept = −8.53,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= .072. See Table 4 for full publication-bias assessment.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9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Funnel Plot: Openness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093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9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Funnel plot of Pearson correlations between Openness and academic achievement in online learning environments. Points represent individual studies. The vertical dashed red line indicates the random-effects pooled correlation. Diagonal dashed lines represent pseudo-95% confidence bounds under the assumption of no heterogeneity. Asymmetric dispersion may suggest small-study effects or publication bias. Egger's test results: intercept = −6.41,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= .045. See Table 4 for full publication-bias assessment.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10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Funnel Plot: Neuroticism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093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9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Funnel plot of Pearson correlations between Neuroticism and academic achievement in online learning environments. Points represent individual studies. The vertical dashed red line indicates the random-effects pooled correlation. Diagonal dashed lines represent pseudo-95% confidence bounds under the assumption of no heterogeneity. Asymmetric dispersion may suggest small-study effects or publication bias. Egger's test results: intercept = −1.79,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= .304. See Table 4 for full publication-bias assessment.</w:t>
      </w:r>
    </w:p>
    <w:p>
      <w:r>
        <w:br w:type="page"/>
      </w:r>
    </w:p>
    <w:p>
      <w:pPr>
        <w:spacing w:line="480" w:lineRule="auto" w:before="0" w:after="0"/>
      </w:pPr>
      <w:r>
        <w:rPr>
          <w:rFonts w:ascii="Times New Roman" w:hAnsi="Times New Roman"/>
          <w:b/>
          <w:sz w:val="24"/>
        </w:rPr>
        <w:t>Figure 11</w:t>
      </w:r>
    </w:p>
    <w:p>
      <w:pPr>
        <w:spacing w:line="480" w:lineRule="auto" w:before="0" w:after="0"/>
      </w:pPr>
      <w:r>
        <w:rPr>
          <w:rFonts w:ascii="Times New Roman" w:hAnsi="Times New Roman"/>
          <w:i/>
          <w:sz w:val="24"/>
        </w:rPr>
        <w:t>Funnel Plot: Extraversion and Academic Achievement in Online Learning Environments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9093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909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 w:before="0" w:after="0"/>
      </w:pPr>
      <w:r>
        <w:rPr>
          <w:rFonts w:ascii="Times New Roman" w:hAnsi="Times New Roman" w:eastAsia="Times New Roman"/>
          <w:sz w:val="24"/>
        </w:rPr>
        <w:t xml:space="preserve">Note. Funnel plot of Pearson correlations between Extraversion and academic achievement in online learning environments. Points represent individual studies. The vertical dashed red line indicates the random-effects pooled correlation. Diagonal dashed lines represent pseudo-95% confidence bounds under the assumption of no heterogeneity. Asymmetric dispersion may suggest small-study effects or publication bias. Egger's test results: intercept = 2.29, </w:t>
      </w:r>
      <w:r>
        <w:rPr>
          <w:rFonts w:ascii="Times New Roman" w:hAnsi="Times New Roman" w:eastAsia="Times New Roman"/>
          <w:i/>
          <w:sz w:val="24"/>
        </w:rPr>
        <w:t>p</w:t>
      </w:r>
      <w:r>
        <w:rPr>
          <w:rFonts w:ascii="Times New Roman" w:hAnsi="Times New Roman" w:eastAsia="Times New Roman"/>
          <w:sz w:val="24"/>
        </w:rPr>
        <w:t xml:space="preserve"> = .255. See Table 4 for full publication-bias assessment.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Times New Roman" w:hAnsi="Times New Roman" w:eastAsia="Times New Roman"/>
        <w:sz w:val="24"/>
      </w:rPr>
      <w:t>BIG FIVE AND ONLINE LEARNING</w:t>
      <w:tab/>
      <w:tab/>
    </w: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