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Big Five Personality Traits and Academic Achievement in Online Learning Environments: A Systematic Review and Meta-Analysis</w:t>
      </w:r>
    </w:p>
    <w:p>
      <w:pPr>
        <w:spacing w:line="480" w:lineRule="auto" w:before="0" w:after="0"/>
        <w:jc w:val="center"/>
      </w:pPr>
    </w:p>
    <w:p>
      <w:pPr>
        <w:spacing w:line="480" w:lineRule="auto" w:before="0" w:after="0"/>
        <w:jc w:val="center"/>
      </w:pPr>
      <w:r>
        <w:rPr>
          <w:rFonts w:ascii="Times New Roman" w:hAnsi="Times New Roman" w:eastAsia="Times New Roman"/>
          <w:sz w:val="24"/>
        </w:rPr>
        <w:t>Eisuke Tokiwa</w:t>
      </w:r>
    </w:p>
    <w:p>
      <w:pPr>
        <w:spacing w:line="480" w:lineRule="auto" w:before="0" w:after="0"/>
        <w:jc w:val="center"/>
      </w:pPr>
      <w:r>
        <w:rPr>
          <w:rFonts w:ascii="Times New Roman" w:hAnsi="Times New Roman" w:eastAsia="Times New Roman"/>
          <w:sz w:val="24"/>
        </w:rPr>
        <w:t>SUNBLAZE Co., Ltd., Tokyo, Japan</w:t>
      </w: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eastAsia="Times New Roman"/>
          <w:b/>
          <w:sz w:val="24"/>
        </w:rPr>
        <w:t>Author Note</w:t>
      </w:r>
    </w:p>
    <w:p>
      <w:pPr>
        <w:spacing w:line="480" w:lineRule="auto" w:before="0" w:after="0"/>
        <w:ind w:firstLine="720"/>
      </w:pPr>
      <w:r>
        <w:rPr>
          <w:rFonts w:ascii="Times New Roman" w:hAnsi="Times New Roman" w:eastAsia="Times New Roman"/>
          <w:sz w:val="24"/>
        </w:rPr>
        <w:t>Eisuke Tokiwa https://orcid.org/0009-0009-7124-6669</w:t>
      </w:r>
    </w:p>
    <w:p>
      <w:pPr>
        <w:spacing w:line="480" w:lineRule="auto" w:before="0" w:after="0"/>
        <w:ind w:firstLine="720"/>
      </w:pPr>
      <w:r>
        <w:rPr>
          <w:rFonts w:ascii="Times New Roman" w:hAnsi="Times New Roman" w:eastAsia="Times New Roman"/>
          <w:sz w:val="24"/>
        </w:rPr>
        <w:t>The author has no known conflict of interest to disclose beyond that stated in the Declarations section, where a pre-specified sensitivity analysis addresses the author's own potentially eligible primary study. This research received no external funding. The systematic review and meta-analysis was pre-registered on OSF Registries (https://doi.org/10.17605/OSF.IO/E5W47) prior to data extraction, and all data, analysis code, and supplementary materials are publicly available in the associated OSF project (https://doi.org/10.17605/OSF.IO/79M5J).</w:t>
      </w:r>
    </w:p>
    <w:p>
      <w:pPr>
        <w:spacing w:line="480" w:lineRule="auto" w:before="0" w:after="0"/>
        <w:ind w:firstLine="720"/>
      </w:pPr>
      <w:r>
        <w:rPr>
          <w:rFonts w:ascii="Times New Roman" w:hAnsi="Times New Roman" w:eastAsia="Times New Roman"/>
          <w:sz w:val="24"/>
        </w:rPr>
        <w:t>Correspondence concerning this article should be addressed to Eisuke Tokiwa, SUNBLAZE Co., Ltd., Tokyo, Japan. Email: eisuke.tokiwa@sunblaze.jp</w:t>
      </w:r>
    </w:p>
    <w:p>
      <w:r>
        <w:br w:type="page"/>
      </w:r>
    </w:p>
    <w:p>
      <w:pPr>
        <w:spacing w:line="480" w:lineRule="auto" w:before="0" w:after="0"/>
      </w:pPr>
    </w:p>
    <w:p>
      <w:pPr>
        <w:spacing w:line="480" w:lineRule="auto" w:before="0" w:after="0"/>
      </w:pPr>
      <w:r>
        <w:rPr>
          <w:rFonts w:ascii="Times New Roman" w:hAnsi="Times New Roman" w:eastAsia="Times New Roman"/>
          <w:b/>
          <w:sz w:val="24"/>
        </w:rPr>
        <w:t>Declarations</w:t>
      </w:r>
    </w:p>
    <w:p>
      <w:pPr>
        <w:spacing w:line="480" w:lineRule="auto" w:before="0" w:after="0"/>
      </w:pPr>
      <w:r>
        <w:rPr>
          <w:rFonts w:ascii="Times New Roman" w:hAnsi="Times New Roman" w:eastAsia="Times New Roman"/>
          <w:b/>
          <w:sz w:val="24"/>
        </w:rPr>
        <w:t>Conflict of Interest</w:t>
      </w:r>
    </w:p>
    <w:p>
      <w:pPr>
        <w:spacing w:line="480" w:lineRule="auto" w:before="0" w:after="0"/>
      </w:pPr>
      <w:r>
        <w:rPr>
          <w:rFonts w:ascii="Times New Roman" w:hAnsi="Times New Roman" w:eastAsia="Times New Roman"/>
          <w:sz w:val="24"/>
        </w:rPr>
        <w:t>The author declares that there are no financial or personal relationships with other people or organizations that could inappropriately influence this work, except that one of the author's prior primary studies (Tokiwa, 2025) is potentially eligible for inclusion in the present meta-analysis. This conflict is addressed through a pre-specified sensitivity analysis excluding the author's own study.</w:t>
      </w:r>
    </w:p>
    <w:p>
      <w:pPr>
        <w:spacing w:line="480" w:lineRule="auto" w:before="0" w:after="0"/>
      </w:pPr>
    </w:p>
    <w:p>
      <w:pPr>
        <w:spacing w:line="480" w:lineRule="auto" w:before="0" w:after="0"/>
      </w:pPr>
      <w:r>
        <w:rPr>
          <w:rFonts w:ascii="Times New Roman" w:hAnsi="Times New Roman" w:eastAsia="Times New Roman"/>
          <w:b/>
          <w:sz w:val="24"/>
        </w:rPr>
        <w:t>Funding</w:t>
      </w:r>
    </w:p>
    <w:p>
      <w:pPr>
        <w:spacing w:line="480" w:lineRule="auto" w:before="0" w:after="0"/>
      </w:pPr>
      <w:r>
        <w:rPr>
          <w:rFonts w:ascii="Times New Roman" w:hAnsi="Times New Roman" w:eastAsia="Times New Roman"/>
          <w:sz w:val="24"/>
        </w:rPr>
        <w:t>This research did not receive any specific grant from funding agencies in the public, commercial, or not-for-profit sectors.</w:t>
      </w:r>
    </w:p>
    <w:p>
      <w:pPr>
        <w:spacing w:line="480" w:lineRule="auto" w:before="0" w:after="0"/>
      </w:pPr>
    </w:p>
    <w:p>
      <w:pPr>
        <w:spacing w:line="480" w:lineRule="auto" w:before="0" w:after="0"/>
      </w:pPr>
      <w:r>
        <w:rPr>
          <w:rFonts w:ascii="Times New Roman" w:hAnsi="Times New Roman" w:eastAsia="Times New Roman"/>
          <w:b/>
          <w:sz w:val="24"/>
        </w:rPr>
        <w:t>Ethics Approval</w:t>
      </w:r>
    </w:p>
    <w:p>
      <w:pPr>
        <w:spacing w:line="480" w:lineRule="auto" w:before="0" w:after="0"/>
      </w:pPr>
      <w:r>
        <w:rPr>
          <w:rFonts w:ascii="Times New Roman" w:hAnsi="Times New Roman" w:eastAsia="Times New Roman"/>
          <w:sz w:val="24"/>
        </w:rPr>
        <w:t>Not applicable. This meta-analysis synthesizes data from previously published studies and does not involve direct collection of data from human participants. Ethical approval for the original studies was the responsibility of the authors of those studies.</w:t>
      </w:r>
    </w:p>
    <w:p>
      <w:pPr>
        <w:spacing w:line="480" w:lineRule="auto" w:before="0" w:after="0"/>
      </w:pPr>
    </w:p>
    <w:p>
      <w:pPr>
        <w:spacing w:line="480" w:lineRule="auto" w:before="0" w:after="0"/>
      </w:pPr>
      <w:r>
        <w:rPr>
          <w:rFonts w:ascii="Times New Roman" w:hAnsi="Times New Roman" w:eastAsia="Times New Roman"/>
          <w:b/>
          <w:sz w:val="24"/>
        </w:rPr>
        <w:t>Informed Consent</w:t>
      </w:r>
    </w:p>
    <w:p>
      <w:pPr>
        <w:spacing w:line="480" w:lineRule="auto" w:before="0" w:after="0"/>
      </w:pPr>
      <w:r>
        <w:rPr>
          <w:rFonts w:ascii="Times New Roman" w:hAnsi="Times New Roman" w:eastAsia="Times New Roman"/>
          <w:sz w:val="24"/>
        </w:rPr>
        <w:t>Not applicable. All included studies obtained informed consent from their participants in accordance with institutional and journal requirements at the time of original data collection.</w:t>
      </w:r>
    </w:p>
    <w:p>
      <w:pPr>
        <w:spacing w:line="480" w:lineRule="auto" w:before="0" w:after="0"/>
      </w:pPr>
    </w:p>
    <w:p>
      <w:pPr>
        <w:spacing w:line="480" w:lineRule="auto" w:before="0" w:after="0"/>
      </w:pPr>
      <w:r>
        <w:rPr>
          <w:rFonts w:ascii="Times New Roman" w:hAnsi="Times New Roman" w:eastAsia="Times New Roman"/>
          <w:b/>
          <w:sz w:val="24"/>
        </w:rPr>
        <w:t>Pre-registration</w:t>
      </w:r>
    </w:p>
    <w:p>
      <w:pPr>
        <w:spacing w:line="480" w:lineRule="auto" w:before="0" w:after="0"/>
      </w:pPr>
      <w:r>
        <w:rPr>
          <w:rFonts w:ascii="Times New Roman" w:hAnsi="Times New Roman" w:eastAsia="Times New Roman"/>
          <w:sz w:val="24"/>
        </w:rPr>
        <w:t>This systematic review and meta-analysis was pre-registered on OSF Registries (https://osf.io/e5w47/; DOI: 10.17605/OSF.IO/E5W47) on April 23, 2026, prior to formal data extraction and quantitative synthesis. The full protocol (PRISMA-P 2015 compliant) and supplementary materials are publicly available in the associated OSF project (https://doi.org/10.17605/OSF.IO/79M5J).</w:t>
      </w:r>
    </w:p>
    <w:p>
      <w:pPr>
        <w:spacing w:line="480" w:lineRule="auto" w:before="0" w:after="0"/>
      </w:pPr>
    </w:p>
    <w:p>
      <w:pPr>
        <w:spacing w:line="480" w:lineRule="auto" w:before="0" w:after="0"/>
      </w:pPr>
      <w:r>
        <w:rPr>
          <w:rFonts w:ascii="Times New Roman" w:hAnsi="Times New Roman" w:eastAsia="Times New Roman"/>
          <w:b/>
          <w:sz w:val="24"/>
        </w:rPr>
        <w:t>Availability of data and material</w:t>
      </w:r>
    </w:p>
    <w:p>
      <w:pPr>
        <w:spacing w:line="480" w:lineRule="auto" w:before="0" w:after="0"/>
      </w:pPr>
      <w:r>
        <w:rPr>
          <w:rFonts w:ascii="Times New Roman" w:hAnsi="Times New Roman" w:eastAsia="Times New Roman"/>
          <w:sz w:val="24"/>
        </w:rPr>
        <w:t>All extracted data, analysis code, search logs, risk-of-bias ratings, figures, and supplementary materials are publicly available on the associated OSF project (https://doi.org/10.17605/OSF.IO/79M5J). Each component has been assigned a DOI for direct citation: 01_protocol (https://doi.org/10.17605/OSF.IO/7FRGH) — protocol, literature review, deep reading notes, and manuscript drafts; 02_search (https://doi.org/10.17605/OSF.IO/UVJDY) — search log and candidate studies; 03_screening (https://doi.org/10.17605/OSF.IO/YH28G) — PRISMA flow counts (forthcoming); 04_extraction (https://doi.org/10.17605/OSF.IO/5UW98) — data extraction CSV and coding manual; 05_risk_of_bias (https://doi.org/10.17605/OSF.IO/3XYNE) — JBI risk-of-bias ratings (forthcoming); 06_analysis (https://doi.org/10.17605/OSF.IO/Q4XKB) — Python analysis scripts, pooled results, moderator analyses, sensitivity analyses, and generating code for all tables and figures; and 07_pdf_index (https://doi.org/10.17605/OSF.IO/XZ6PT) — DOI index of included studies.</w:t>
      </w:r>
    </w:p>
    <w:p>
      <w:pPr>
        <w:spacing w:line="480" w:lineRule="auto" w:before="0" w:after="0"/>
      </w:pPr>
    </w:p>
    <w:p>
      <w:pPr>
        <w:spacing w:line="480" w:lineRule="auto" w:before="0" w:after="0"/>
      </w:pPr>
      <w:r>
        <w:rPr>
          <w:rFonts w:ascii="Times New Roman" w:hAnsi="Times New Roman" w:eastAsia="Times New Roman"/>
          <w:b/>
          <w:sz w:val="24"/>
        </w:rPr>
        <w:t>Authors' contributions</w:t>
      </w:r>
    </w:p>
    <w:p>
      <w:pPr>
        <w:spacing w:line="480" w:lineRule="auto" w:before="0" w:after="0"/>
      </w:pPr>
      <w:r>
        <w:rPr>
          <w:rFonts w:ascii="Times New Roman" w:hAnsi="Times New Roman" w:eastAsia="Times New Roman"/>
          <w:sz w:val="24"/>
        </w:rPr>
        <w:t>The author (ET) conceived and designed the review, developed the search strategy and eligibility criteria, performed the database searches, conducted screening, extracted data, performed the statistical analyses, and drafted and revised the manuscript. The author approves the final version.</w:t>
      </w:r>
    </w:p>
    <w:p>
      <w:pPr>
        <w:spacing w:line="480" w:lineRule="auto" w:before="0" w:after="0"/>
      </w:pPr>
    </w:p>
    <w:p>
      <w:pPr>
        <w:spacing w:line="480" w:lineRule="auto" w:before="0" w:after="0"/>
      </w:pPr>
      <w:r>
        <w:rPr>
          <w:rFonts w:ascii="Times New Roman" w:hAnsi="Times New Roman" w:eastAsia="Times New Roman"/>
          <w:b/>
          <w:sz w:val="24"/>
        </w:rPr>
        <w:t>Preprint Statement</w:t>
      </w:r>
    </w:p>
    <w:p>
      <w:pPr>
        <w:spacing w:line="480" w:lineRule="auto" w:before="0" w:after="0"/>
      </w:pPr>
      <w:r>
        <w:rPr>
          <w:rFonts w:ascii="Times New Roman" w:hAnsi="Times New Roman" w:eastAsia="Times New Roman"/>
          <w:sz w:val="24"/>
        </w:rPr>
        <w:t>A preprint version of this manuscript has been deposited on Research Square (https://doi.org/[TO BE FILLED AFTER PREPRINT DOI IS ASSIGNED]). This preprint has not been peer-reviewed by a journal. Any substantive revisions introduced during peer review are reflected in the present journal version and in a versioned preprint update.</w:t>
      </w:r>
    </w:p>
    <w:p>
      <w:pPr>
        <w:spacing w:line="480" w:lineRule="auto" w:before="0" w:after="0"/>
      </w:pPr>
    </w:p>
    <w:p>
      <w:pPr>
        <w:spacing w:line="480" w:lineRule="auto" w:before="0" w:after="0"/>
      </w:pPr>
      <w:r>
        <w:rPr>
          <w:rFonts w:ascii="Times New Roman" w:hAnsi="Times New Roman" w:eastAsia="Times New Roman"/>
          <w:b/>
          <w:sz w:val="24"/>
        </w:rPr>
        <w:t>Acknowledgments</w:t>
      </w:r>
    </w:p>
    <w:p>
      <w:pPr>
        <w:spacing w:line="480" w:lineRule="auto" w:before="0" w:after="0"/>
      </w:pPr>
      <w:r>
        <w:rPr>
          <w:rFonts w:ascii="Times New Roman" w:hAnsi="Times New Roman" w:eastAsia="Times New Roman"/>
          <w:sz w:val="24"/>
        </w:rPr>
        <w:t>The author thanks the investigators of the included primary studies for making their correlation matrices and sample characteristics available in the published record, and the maintainers of the open-access repositories (OSF, Research Square, PsyArXiv, arXiv, and institutional repositories) that enabled retrieval of full-text articles. The author also acknowledges the developers of the open-source scientific Python stack (NumPy, SciPy, pandas, Matplotlib, statsmodels, and python-docx) on which the analyses and manuscript preparation depended. No funding bodies, research assistants, or third-party organizations contributed to the design, conduct, or reporting of this review.</w:t>
      </w:r>
    </w:p>
    <w:p>
      <w:pPr>
        <w:spacing w:line="480" w:lineRule="auto" w:before="0" w:after="0"/>
      </w:pPr>
    </w:p>
    <w:p>
      <w:r>
        <w:br w:type="page"/>
      </w:r>
    </w:p>
    <w:p>
      <w:pPr>
        <w:pStyle w:val="Heading1"/>
        <w:spacing w:line="480" w:lineRule="auto" w:before="0" w:after="0"/>
      </w:pPr>
      <w:r>
        <w:t>Abstract</w:t>
      </w:r>
    </w:p>
    <w:p>
      <w:pPr>
        <w:spacing w:line="480" w:lineRule="auto" w:before="0" w:after="0"/>
      </w:pPr>
      <w:r>
        <w:rPr>
          <w:rFonts w:ascii="Times New Roman" w:hAnsi="Times New Roman" w:eastAsia="Times New Roman"/>
          <w:sz w:val="24"/>
        </w:rPr>
        <w:t xml:space="preserve">Existing meta-analyses of Big Five personality traits and academic achievement have pooled face-to-face, blended, and online samples without testing delivery mode as a moderator. This pre-registered systematic review and meta-analysis is the first quantitative synthesis dedicated to online learning environments. Following PRISMA 2020 standards, 31 primary studies catalogued in Table 1 reporting Big Five personality and academic achievement in online, blended, or MOOC environments were synthesized. Ten studies (pooled </w:t>
      </w:r>
      <w:r>
        <w:rPr>
          <w:rFonts w:ascii="Times New Roman" w:hAnsi="Times New Roman" w:eastAsia="Times New Roman"/>
          <w:i/>
          <w:sz w:val="24"/>
        </w:rPr>
        <w:t>N</w:t>
      </w:r>
      <w:r>
        <w:rPr>
          <w:rFonts w:ascii="Times New Roman" w:hAnsi="Times New Roman" w:eastAsia="Times New Roman"/>
          <w:sz w:val="24"/>
        </w:rPr>
        <w:t xml:space="preserve"> = 3,384) contributed direct Pearson correlations to the primary achievement pool, analysed with random-effects meta-analysis using Hartung-Knapp-Sidik-Jonkman adjustment on the Fisher </w:t>
      </w:r>
      <w:r>
        <w:rPr>
          <w:rFonts w:ascii="Times New Roman" w:hAnsi="Times New Roman" w:eastAsia="Times New Roman"/>
          <w:i/>
          <w:sz w:val="24"/>
        </w:rPr>
        <w:t>z</w:t>
      </w:r>
      <w:r>
        <w:rPr>
          <w:rFonts w:ascii="Times New Roman" w:hAnsi="Times New Roman" w:eastAsia="Times New Roman"/>
          <w:sz w:val="24"/>
        </w:rPr>
        <w:t xml:space="preserve"> scale. Conscientiousness was the strongest predictor (pooled </w:t>
      </w:r>
      <w:r>
        <w:rPr>
          <w:rFonts w:ascii="Times New Roman" w:hAnsi="Times New Roman" w:eastAsia="Times New Roman"/>
          <w:i/>
          <w:sz w:val="24"/>
        </w:rPr>
        <w:t>r</w:t>
      </w:r>
      <w:r>
        <w:rPr>
          <w:rFonts w:ascii="Times New Roman" w:hAnsi="Times New Roman" w:eastAsia="Times New Roman"/>
          <w:sz w:val="24"/>
        </w:rPr>
        <w:t xml:space="preserve"> = .167, 95% CI [.089, .243]; </w:t>
      </w:r>
      <w:r>
        <w:rPr>
          <w:rFonts w:ascii="Times New Roman" w:hAnsi="Times New Roman" w:eastAsia="Times New Roman"/>
          <w:i/>
          <w:sz w:val="24"/>
        </w:rPr>
        <w:t>I²</w:t>
      </w:r>
      <w:r>
        <w:rPr>
          <w:rFonts w:ascii="Times New Roman" w:hAnsi="Times New Roman" w:eastAsia="Times New Roman"/>
          <w:sz w:val="24"/>
        </w:rPr>
        <w:t xml:space="preserve"> = 65.1%), followed by Agreeableness (</w:t>
      </w:r>
      <w:r>
        <w:rPr>
          <w:rFonts w:ascii="Times New Roman" w:hAnsi="Times New Roman" w:eastAsia="Times New Roman"/>
          <w:i/>
          <w:sz w:val="24"/>
        </w:rPr>
        <w:t>r</w:t>
      </w:r>
      <w:r>
        <w:rPr>
          <w:rFonts w:ascii="Times New Roman" w:hAnsi="Times New Roman" w:eastAsia="Times New Roman"/>
          <w:sz w:val="24"/>
        </w:rPr>
        <w:t xml:space="preserve"> = .112 [−.031, .250]), Openness (</w:t>
      </w:r>
      <w:r>
        <w:rPr>
          <w:rFonts w:ascii="Times New Roman" w:hAnsi="Times New Roman" w:eastAsia="Times New Roman"/>
          <w:i/>
          <w:sz w:val="24"/>
        </w:rPr>
        <w:t>r</w:t>
      </w:r>
      <w:r>
        <w:rPr>
          <w:rFonts w:ascii="Times New Roman" w:hAnsi="Times New Roman" w:eastAsia="Times New Roman"/>
          <w:sz w:val="24"/>
        </w:rPr>
        <w:t xml:space="preserve"> = .086 [−.044, .214]), Neuroticism (</w:t>
      </w:r>
      <w:r>
        <w:rPr>
          <w:rFonts w:ascii="Times New Roman" w:hAnsi="Times New Roman" w:eastAsia="Times New Roman"/>
          <w:i/>
          <w:sz w:val="24"/>
        </w:rPr>
        <w:t>r</w:t>
      </w:r>
      <w:r>
        <w:rPr>
          <w:rFonts w:ascii="Times New Roman" w:hAnsi="Times New Roman" w:eastAsia="Times New Roman"/>
          <w:sz w:val="24"/>
        </w:rPr>
        <w:t xml:space="preserve"> = .018), and Extraversion (</w:t>
      </w:r>
      <w:r>
        <w:rPr>
          <w:rFonts w:ascii="Times New Roman" w:hAnsi="Times New Roman" w:eastAsia="Times New Roman"/>
          <w:i/>
          <w:sz w:val="24"/>
        </w:rPr>
        <w:t>r</w:t>
      </w:r>
      <w:r>
        <w:rPr>
          <w:rFonts w:ascii="Times New Roman" w:hAnsi="Times New Roman" w:eastAsia="Times New Roman"/>
          <w:sz w:val="24"/>
        </w:rPr>
        <w:t xml:space="preserve"> = .002). Two pre-registered moderator effects were highly significant: Extraversion × Region (Asian samples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Extraversion × Outcome Type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Findings provide preliminary support for the Personality-Achievement Saturation Hypothesis extended to technology-mediated learning and document novel cultural- and outcome-type-dependent shifts in the Extraversion-achievement link. GRADE confidence ranged from Moderate (Conscientiousness, Extraversion) to Low (Openness, Agreeableness, Neuroticism). Online learning modifies, but does not fundamentally transform, the established personality-achievement pattern; the most theoretically important divergences concern Extraversion and are structured by cultural context and outcome methodology.</w:t>
      </w:r>
    </w:p>
    <w:p>
      <w:pPr>
        <w:spacing w:line="480" w:lineRule="auto" w:before="0" w:after="0"/>
      </w:pPr>
    </w:p>
    <w:p>
      <w:pPr>
        <w:spacing w:line="480" w:lineRule="auto" w:before="0" w:after="0"/>
      </w:pPr>
      <w:r>
        <w:rPr>
          <w:rFonts w:ascii="Times New Roman" w:hAnsi="Times New Roman" w:eastAsia="Times New Roman"/>
          <w:sz w:val="24"/>
        </w:rPr>
        <w:t>Keywords: Big Five, Five-Factor Model, online learning, e-learning, MOOC, academic achievement, meta-analysis, systematic review, PRISMA</w:t>
      </w:r>
    </w:p>
    <w:p>
      <w:pPr>
        <w:pStyle w:val="Heading1"/>
        <w:spacing w:line="480" w:lineRule="auto" w:before="0" w:after="0"/>
      </w:pPr>
      <w:r>
        <w:t>Introduction</w:t>
      </w:r>
    </w:p>
    <w:p>
      <w:pPr>
        <w:spacing w:line="480" w:lineRule="auto" w:before="0" w:after="0"/>
        <w:ind w:firstLine="720"/>
      </w:pPr>
      <w:r>
        <w:rPr>
          <w:rFonts w:ascii="Times New Roman" w:hAnsi="Times New Roman" w:eastAsia="Times New Roman"/>
          <w:sz w:val="24"/>
        </w:rPr>
        <w:t>Academic performance in higher education has shifted dramatically in the past decade, first through the gradual adoption of learning management systems and massive open online courses, and then, abruptly, through the COVID-19 pandemic, which forced millions of students worldwide into fully online or blended learning environments. As of 2023, a substantial proportion of post-secondary instruction continues to be delivered online or in hybrid modalities, even in contexts where face-to-face teaching is again available. This structural shift raises a fundamental question: do the non-cognitive predictors of academic achievement that were established in face-to-face classrooms retain their predictive validity when instruction is mediated by technology? Personality traits, and in particular the Big Five (Five-Factor Model) dimensions of Conscientiousness, Openness to Experience, Extraversion, Agreeableness, and Neuroticism, are among the most widely studied non-cognitive predictors of academic achievement (Mammadov, 2022; Poropat, 2009). Yet the accumulated meta-analytic evidence, as reviewed below, has been produced almost entirely from samples in which delivery modality is treated as noise rather than as a substantive moderator. The present review is the first to address this gap quantitatively.</w:t>
      </w:r>
    </w:p>
    <w:p>
      <w:pPr>
        <w:pStyle w:val="Heading2"/>
        <w:spacing w:line="480" w:lineRule="auto" w:before="0" w:after="0"/>
      </w:pPr>
      <w:r>
        <w:t>Personality and Academic Achievement in Face-to-Face Contexts</w:t>
      </w:r>
    </w:p>
    <w:p>
      <w:pPr>
        <w:spacing w:line="480" w:lineRule="auto" w:before="0" w:after="0"/>
        <w:ind w:firstLine="720"/>
      </w:pPr>
      <w:r>
        <w:rPr>
          <w:rFonts w:ascii="Times New Roman" w:hAnsi="Times New Roman" w:eastAsia="Times New Roman"/>
          <w:sz w:val="24"/>
        </w:rPr>
        <w:t xml:space="preserve">Eight large-scale meta-analyses have established a robust pattern of associations between the Big Five personality traits and academic achievement. Poropat (2009), synthesizing 138 samples and over 70,000 participants, reported a corrected correlation of </w:t>
      </w:r>
      <w:r>
        <w:rPr>
          <w:rFonts w:ascii="Times New Roman" w:hAnsi="Times New Roman" w:eastAsia="Times New Roman"/>
          <w:i/>
          <w:sz w:val="24"/>
        </w:rPr>
        <w:t>ρ</w:t>
      </w:r>
      <w:r>
        <w:rPr>
          <w:rFonts w:ascii="Times New Roman" w:hAnsi="Times New Roman" w:eastAsia="Times New Roman"/>
          <w:sz w:val="24"/>
        </w:rPr>
        <w:t xml:space="preserve"> = .22 between Conscientiousness and academic performance, with smaller but significant effects for Openness (</w:t>
      </w:r>
      <w:r>
        <w:rPr>
          <w:rFonts w:ascii="Times New Roman" w:hAnsi="Times New Roman" w:eastAsia="Times New Roman"/>
          <w:i/>
          <w:sz w:val="24"/>
        </w:rPr>
        <w:t>ρ</w:t>
      </w:r>
      <w:r>
        <w:rPr>
          <w:rFonts w:ascii="Times New Roman" w:hAnsi="Times New Roman" w:eastAsia="Times New Roman"/>
          <w:sz w:val="24"/>
        </w:rPr>
        <w:t xml:space="preserve"> = .12) and Agreeableness (</w:t>
      </w:r>
      <w:r>
        <w:rPr>
          <w:rFonts w:ascii="Times New Roman" w:hAnsi="Times New Roman" w:eastAsia="Times New Roman"/>
          <w:i/>
          <w:sz w:val="24"/>
        </w:rPr>
        <w:t>ρ</w:t>
      </w:r>
      <w:r>
        <w:rPr>
          <w:rFonts w:ascii="Times New Roman" w:hAnsi="Times New Roman" w:eastAsia="Times New Roman"/>
          <w:sz w:val="24"/>
        </w:rPr>
        <w:t xml:space="preserve"> = .07), and essentially null effects for Extraversion (</w:t>
      </w:r>
      <w:r>
        <w:rPr>
          <w:rFonts w:ascii="Times New Roman" w:hAnsi="Times New Roman" w:eastAsia="Times New Roman"/>
          <w:i/>
          <w:sz w:val="24"/>
        </w:rPr>
        <w:t>ρ</w:t>
      </w:r>
      <w:r>
        <w:rPr>
          <w:rFonts w:ascii="Times New Roman" w:hAnsi="Times New Roman" w:eastAsia="Times New Roman"/>
          <w:sz w:val="24"/>
        </w:rPr>
        <w:t xml:space="preserve"> = −.01) and Neuroticism (</w:t>
      </w:r>
      <w:r>
        <w:rPr>
          <w:rFonts w:ascii="Times New Roman" w:hAnsi="Times New Roman" w:eastAsia="Times New Roman"/>
          <w:i/>
          <w:sz w:val="24"/>
        </w:rPr>
        <w:t>ρ</w:t>
      </w:r>
      <w:r>
        <w:rPr>
          <w:rFonts w:ascii="Times New Roman" w:hAnsi="Times New Roman" w:eastAsia="Times New Roman"/>
          <w:sz w:val="24"/>
        </w:rPr>
        <w:t xml:space="preserve"> = .02). These findings were replicated and extended by McAbee and Oswald (2013; </w:t>
      </w:r>
      <w:r>
        <w:rPr>
          <w:rFonts w:ascii="Times New Roman" w:hAnsi="Times New Roman" w:eastAsia="Times New Roman"/>
          <w:i/>
          <w:sz w:val="24"/>
        </w:rPr>
        <w:t>k</w:t>
      </w:r>
      <w:r>
        <w:rPr>
          <w:rFonts w:ascii="Times New Roman" w:hAnsi="Times New Roman" w:eastAsia="Times New Roman"/>
          <w:sz w:val="24"/>
        </w:rPr>
        <w:t xml:space="preserve"> = 57, </w:t>
      </w:r>
      <w:r>
        <w:rPr>
          <w:rFonts w:ascii="Times New Roman" w:hAnsi="Times New Roman" w:eastAsia="Times New Roman"/>
          <w:i/>
          <w:sz w:val="24"/>
        </w:rPr>
        <w:t>N</w:t>
      </w:r>
      <w:r>
        <w:rPr>
          <w:rFonts w:ascii="Times New Roman" w:hAnsi="Times New Roman" w:eastAsia="Times New Roman"/>
          <w:sz w:val="24"/>
        </w:rPr>
        <w:t xml:space="preserve"> = 26,382; C </w:t>
      </w:r>
      <w:r>
        <w:rPr>
          <w:rFonts w:ascii="Times New Roman" w:hAnsi="Times New Roman" w:eastAsia="Times New Roman"/>
          <w:i/>
          <w:sz w:val="24"/>
        </w:rPr>
        <w:t>ρ</w:t>
      </w:r>
      <w:r>
        <w:rPr>
          <w:rFonts w:ascii="Times New Roman" w:hAnsi="Times New Roman" w:eastAsia="Times New Roman"/>
          <w:sz w:val="24"/>
        </w:rPr>
        <w:t xml:space="preserve"> = .26) and by Vedel (2014; </w:t>
      </w:r>
      <w:r>
        <w:rPr>
          <w:rFonts w:ascii="Times New Roman" w:hAnsi="Times New Roman" w:eastAsia="Times New Roman"/>
          <w:i/>
          <w:sz w:val="24"/>
        </w:rPr>
        <w:t>k</w:t>
      </w:r>
      <w:r>
        <w:rPr>
          <w:rFonts w:ascii="Times New Roman" w:hAnsi="Times New Roman" w:eastAsia="Times New Roman"/>
          <w:sz w:val="24"/>
        </w:rPr>
        <w:t xml:space="preserve"> = 21, </w:t>
      </w:r>
      <w:r>
        <w:rPr>
          <w:rFonts w:ascii="Times New Roman" w:hAnsi="Times New Roman" w:eastAsia="Times New Roman"/>
          <w:i/>
          <w:sz w:val="24"/>
        </w:rPr>
        <w:t>N</w:t>
      </w:r>
      <w:r>
        <w:rPr>
          <w:rFonts w:ascii="Times New Roman" w:hAnsi="Times New Roman" w:eastAsia="Times New Roman"/>
          <w:sz w:val="24"/>
        </w:rPr>
        <w:t xml:space="preserve"> = 17,717; C </w:t>
      </w:r>
      <w:r>
        <w:rPr>
          <w:rFonts w:ascii="Times New Roman" w:hAnsi="Times New Roman" w:eastAsia="Times New Roman"/>
          <w:i/>
          <w:sz w:val="24"/>
        </w:rPr>
        <w:t>ρ</w:t>
      </w:r>
      <w:r>
        <w:rPr>
          <w:rFonts w:ascii="Times New Roman" w:hAnsi="Times New Roman" w:eastAsia="Times New Roman"/>
          <w:sz w:val="24"/>
        </w:rPr>
        <w:t xml:space="preserve"> = .26), both restricted to tertiary education. Stajkovic et al. (2018) provided additional evidence that Conscientiousness predicts academic achievement both directly and indirectly through self-efficacy, with the self-efficacy path carrying a substantial proportion of the Conscientiousness effect (</w:t>
      </w:r>
      <w:r>
        <w:rPr>
          <w:rFonts w:ascii="Times New Roman" w:hAnsi="Times New Roman" w:eastAsia="Times New Roman"/>
          <w:i/>
          <w:sz w:val="24"/>
        </w:rPr>
        <w:t>β</w:t>
      </w:r>
      <w:r>
        <w:rPr>
          <w:rFonts w:ascii="Times New Roman" w:hAnsi="Times New Roman" w:eastAsia="Times New Roman"/>
          <w:sz w:val="24"/>
        </w:rPr>
        <w:t xml:space="preserve"> = .24 to .33).</w:t>
      </w:r>
    </w:p>
    <w:p>
      <w:pPr>
        <w:spacing w:line="480" w:lineRule="auto" w:before="0" w:after="0"/>
        <w:ind w:firstLine="720"/>
      </w:pPr>
      <w:r>
        <w:rPr>
          <w:rFonts w:ascii="Times New Roman" w:hAnsi="Times New Roman" w:eastAsia="Times New Roman"/>
          <w:sz w:val="24"/>
        </w:rPr>
        <w:t xml:space="preserve">More recent syntheses have substantially expanded the evidence base. Mammadov (2022), in the largest meta-analysis to date (267 independent samples, </w:t>
      </w:r>
      <w:r>
        <w:rPr>
          <w:rFonts w:ascii="Times New Roman" w:hAnsi="Times New Roman" w:eastAsia="Times New Roman"/>
          <w:i/>
          <w:sz w:val="24"/>
        </w:rPr>
        <w:t>N</w:t>
      </w:r>
      <w:r>
        <w:rPr>
          <w:rFonts w:ascii="Times New Roman" w:hAnsi="Times New Roman" w:eastAsia="Times New Roman"/>
          <w:sz w:val="24"/>
        </w:rPr>
        <w:t xml:space="preserve"> = 413,074), reported a corrected pooled correlation of </w:t>
      </w:r>
      <w:r>
        <w:rPr>
          <w:rFonts w:ascii="Times New Roman" w:hAnsi="Times New Roman" w:eastAsia="Times New Roman"/>
          <w:i/>
          <w:sz w:val="24"/>
        </w:rPr>
        <w:t>ρ</w:t>
      </w:r>
      <w:r>
        <w:rPr>
          <w:rFonts w:ascii="Times New Roman" w:hAnsi="Times New Roman" w:eastAsia="Times New Roman"/>
          <w:sz w:val="24"/>
        </w:rPr>
        <w:t xml:space="preserve"> = .27 for Conscientiousness and </w:t>
      </w:r>
      <w:r>
        <w:rPr>
          <w:rFonts w:ascii="Times New Roman" w:hAnsi="Times New Roman" w:eastAsia="Times New Roman"/>
          <w:i/>
          <w:sz w:val="24"/>
        </w:rPr>
        <w:t>ρ</w:t>
      </w:r>
      <w:r>
        <w:rPr>
          <w:rFonts w:ascii="Times New Roman" w:hAnsi="Times New Roman" w:eastAsia="Times New Roman"/>
          <w:sz w:val="24"/>
        </w:rPr>
        <w:t xml:space="preserve"> = .16 for Openness, and documented a striking cultural moderation effect in which Asian samples showed markedly stronger associations (C </w:t>
      </w:r>
      <w:r>
        <w:rPr>
          <w:rFonts w:ascii="Times New Roman" w:hAnsi="Times New Roman" w:eastAsia="Times New Roman"/>
          <w:i/>
          <w:sz w:val="24"/>
        </w:rPr>
        <w:t>ρ</w:t>
      </w:r>
      <w:r>
        <w:rPr>
          <w:rFonts w:ascii="Times New Roman" w:hAnsi="Times New Roman" w:eastAsia="Times New Roman"/>
          <w:sz w:val="24"/>
        </w:rPr>
        <w:t xml:space="preserve"> = .35; A </w:t>
      </w:r>
      <w:r>
        <w:rPr>
          <w:rFonts w:ascii="Times New Roman" w:hAnsi="Times New Roman" w:eastAsia="Times New Roman"/>
          <w:i/>
          <w:sz w:val="24"/>
        </w:rPr>
        <w:t>ρ</w:t>
      </w:r>
      <w:r>
        <w:rPr>
          <w:rFonts w:ascii="Times New Roman" w:hAnsi="Times New Roman" w:eastAsia="Times New Roman"/>
          <w:sz w:val="24"/>
        </w:rPr>
        <w:t xml:space="preserve"> = .23;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ρ</w:t>
      </w:r>
      <w:r>
        <w:rPr>
          <w:rFonts w:ascii="Times New Roman" w:hAnsi="Times New Roman" w:eastAsia="Times New Roman"/>
          <w:sz w:val="24"/>
        </w:rPr>
        <w:t xml:space="preserve"> = −.19). Meyer et al. (2023), focusing exclusively on K-12 samples (110 samples, </w:t>
      </w:r>
      <w:r>
        <w:rPr>
          <w:rFonts w:ascii="Times New Roman" w:hAnsi="Times New Roman" w:eastAsia="Times New Roman"/>
          <w:i/>
          <w:sz w:val="24"/>
        </w:rPr>
        <w:t>N</w:t>
      </w:r>
      <w:r>
        <w:rPr>
          <w:rFonts w:ascii="Times New Roman" w:hAnsi="Times New Roman" w:eastAsia="Times New Roman"/>
          <w:sz w:val="24"/>
        </w:rPr>
        <w:t xml:space="preserve"> = 500,218), obtained even larger estimates (C </w:t>
      </w:r>
      <w:r>
        <w:rPr>
          <w:rFonts w:ascii="Times New Roman" w:hAnsi="Times New Roman" w:eastAsia="Times New Roman"/>
          <w:i/>
          <w:sz w:val="24"/>
        </w:rPr>
        <w:t>ρ</w:t>
      </w:r>
      <w:r>
        <w:rPr>
          <w:rFonts w:ascii="Times New Roman" w:hAnsi="Times New Roman" w:eastAsia="Times New Roman"/>
          <w:sz w:val="24"/>
        </w:rPr>
        <w:t xml:space="preserve"> = .24; O </w:t>
      </w:r>
      <w:r>
        <w:rPr>
          <w:rFonts w:ascii="Times New Roman" w:hAnsi="Times New Roman" w:eastAsia="Times New Roman"/>
          <w:i/>
          <w:sz w:val="24"/>
        </w:rPr>
        <w:t>ρ</w:t>
      </w:r>
      <w:r>
        <w:rPr>
          <w:rFonts w:ascii="Times New Roman" w:hAnsi="Times New Roman" w:eastAsia="Times New Roman"/>
          <w:sz w:val="24"/>
        </w:rPr>
        <w:t xml:space="preserve"> = .21) and identified domain specificity as a critical moderator: Openness was substantially stronger for language than for STEM domains, while Conscientiousness effects were larger for grades than for standardized tests. This latter finding was theorized under the Personality-Achievement Saturation Hypothesis (PASH), which posits that the behavioral signals captured by Conscientiousness (e.g., on-task engagement, homework completion) are more visible to teachers assigning grades than to standardized test scorers. Zell and Lesick (2022), in a second-order synthesis of 54 meta-analyses, confirmed the stability of these effects, with academic-specific estimates of C </w:t>
      </w:r>
      <w:r>
        <w:rPr>
          <w:rFonts w:ascii="Times New Roman" w:hAnsi="Times New Roman" w:eastAsia="Times New Roman"/>
          <w:i/>
          <w:sz w:val="24"/>
        </w:rPr>
        <w:t>ρ</w:t>
      </w:r>
      <w:r>
        <w:rPr>
          <w:rFonts w:ascii="Times New Roman" w:hAnsi="Times New Roman" w:eastAsia="Times New Roman"/>
          <w:sz w:val="24"/>
        </w:rPr>
        <w:t xml:space="preserve"> = .28 and E </w:t>
      </w:r>
      <w:r>
        <w:rPr>
          <w:rFonts w:ascii="Times New Roman" w:hAnsi="Times New Roman" w:eastAsia="Times New Roman"/>
          <w:i/>
          <w:sz w:val="24"/>
        </w:rPr>
        <w:t>ρ</w:t>
      </w:r>
      <w:r>
        <w:rPr>
          <w:rFonts w:ascii="Times New Roman" w:hAnsi="Times New Roman" w:eastAsia="Times New Roman"/>
          <w:sz w:val="24"/>
        </w:rPr>
        <w:t xml:space="preserve"> = −.01. Most recently, Chen et al. (2025), examining 84 articles and 370 independent correlations restricted to university students with samples of at least 200 participants, reported somewhat smaller estimates (C </w:t>
      </w:r>
      <w:r>
        <w:rPr>
          <w:rFonts w:ascii="Times New Roman" w:hAnsi="Times New Roman" w:eastAsia="Times New Roman"/>
          <w:i/>
          <w:sz w:val="24"/>
        </w:rPr>
        <w:t>r</w:t>
      </w:r>
      <w:r>
        <w:rPr>
          <w:rFonts w:ascii="Times New Roman" w:hAnsi="Times New Roman" w:eastAsia="Times New Roman"/>
          <w:sz w:val="24"/>
        </w:rPr>
        <w:t xml:space="preserve"> = .206; O </w:t>
      </w:r>
      <w:r>
        <w:rPr>
          <w:rFonts w:ascii="Times New Roman" w:hAnsi="Times New Roman" w:eastAsia="Times New Roman"/>
          <w:i/>
          <w:sz w:val="24"/>
        </w:rPr>
        <w:t>r</w:t>
      </w:r>
      <w:r>
        <w:rPr>
          <w:rFonts w:ascii="Times New Roman" w:hAnsi="Times New Roman" w:eastAsia="Times New Roman"/>
          <w:sz w:val="24"/>
        </w:rPr>
        <w:t xml:space="preserve"> = .081; A </w:t>
      </w:r>
      <w:r>
        <w:rPr>
          <w:rFonts w:ascii="Times New Roman" w:hAnsi="Times New Roman" w:eastAsia="Times New Roman"/>
          <w:i/>
          <w:sz w:val="24"/>
        </w:rPr>
        <w:t>r</w:t>
      </w:r>
      <w:r>
        <w:rPr>
          <w:rFonts w:ascii="Times New Roman" w:hAnsi="Times New Roman" w:eastAsia="Times New Roman"/>
          <w:sz w:val="24"/>
        </w:rPr>
        <w:t xml:space="preserve"> = .082; E </w:t>
      </w:r>
      <w:r>
        <w:rPr>
          <w:rFonts w:ascii="Times New Roman" w:hAnsi="Times New Roman" w:eastAsia="Times New Roman"/>
          <w:i/>
          <w:sz w:val="24"/>
        </w:rPr>
        <w:t>r</w:t>
      </w:r>
      <w:r>
        <w:rPr>
          <w:rFonts w:ascii="Times New Roman" w:hAnsi="Times New Roman" w:eastAsia="Times New Roman"/>
          <w:sz w:val="24"/>
        </w:rPr>
        <w:t xml:space="preserve"> = −.009; </w:t>
      </w:r>
      <w:r>
        <w:rPr>
          <w:rFonts w:ascii="Times New Roman" w:hAnsi="Times New Roman" w:eastAsia="Times New Roman"/>
          <w:i/>
          <w:sz w:val="24"/>
        </w:rPr>
        <w:t>N</w:t>
      </w:r>
      <w:r>
        <w:rPr>
          <w:rFonts w:ascii="Times New Roman" w:hAnsi="Times New Roman" w:eastAsia="Times New Roman"/>
          <w:sz w:val="24"/>
        </w:rPr>
        <w:t xml:space="preserve"> </w:t>
      </w:r>
      <w:r>
        <w:rPr>
          <w:rFonts w:ascii="Times New Roman" w:hAnsi="Times New Roman" w:eastAsia="Times New Roman"/>
          <w:i/>
          <w:sz w:val="24"/>
        </w:rPr>
        <w:t>r</w:t>
      </w:r>
      <w:r>
        <w:rPr>
          <w:rFonts w:ascii="Times New Roman" w:hAnsi="Times New Roman" w:eastAsia="Times New Roman"/>
          <w:sz w:val="24"/>
        </w:rPr>
        <w:t xml:space="preserve"> = −.029), consistent with the idea that stricter methodological inclusion criteria attenuate apparent trait-performance relationships.</w:t>
      </w:r>
    </w:p>
    <w:p>
      <w:pPr>
        <w:spacing w:line="480" w:lineRule="auto" w:before="0" w:after="0"/>
        <w:ind w:firstLine="720"/>
      </w:pPr>
      <w:r>
        <w:rPr>
          <w:rFonts w:ascii="Times New Roman" w:hAnsi="Times New Roman" w:eastAsia="Times New Roman"/>
          <w:sz w:val="24"/>
        </w:rPr>
        <w:t>Across these eight meta-analyses, a convergent picture emerges: Conscientiousness is the dominant predictor of academic achievement (</w:t>
      </w:r>
      <w:r>
        <w:rPr>
          <w:rFonts w:ascii="Times New Roman" w:hAnsi="Times New Roman" w:eastAsia="Times New Roman"/>
          <w:i/>
          <w:sz w:val="24"/>
        </w:rPr>
        <w:t>ρ</w:t>
      </w:r>
      <w:r>
        <w:rPr>
          <w:rFonts w:ascii="Times New Roman" w:hAnsi="Times New Roman" w:eastAsia="Times New Roman"/>
          <w:sz w:val="24"/>
        </w:rPr>
        <w:t xml:space="preserve"> = .19 to .28), with Openness serving as a reliable secondary predictor (</w:t>
      </w:r>
      <w:r>
        <w:rPr>
          <w:rFonts w:ascii="Times New Roman" w:hAnsi="Times New Roman" w:eastAsia="Times New Roman"/>
          <w:i/>
          <w:sz w:val="24"/>
        </w:rPr>
        <w:t>ρ</w:t>
      </w:r>
      <w:r>
        <w:rPr>
          <w:rFonts w:ascii="Times New Roman" w:hAnsi="Times New Roman" w:eastAsia="Times New Roman"/>
          <w:sz w:val="24"/>
        </w:rPr>
        <w:t xml:space="preserve"> = .07 to .21). Agreeableness exhibits small positive effects (</w:t>
      </w:r>
      <w:r>
        <w:rPr>
          <w:rFonts w:ascii="Times New Roman" w:hAnsi="Times New Roman" w:eastAsia="Times New Roman"/>
          <w:i/>
          <w:sz w:val="24"/>
        </w:rPr>
        <w:t>ρ</w:t>
      </w:r>
      <w:r>
        <w:rPr>
          <w:rFonts w:ascii="Times New Roman" w:hAnsi="Times New Roman" w:eastAsia="Times New Roman"/>
          <w:sz w:val="24"/>
        </w:rPr>
        <w:t xml:space="preserve"> = .04 to .10), and Extraversion and Neuroticism are generally near zero in academic contexts, although both may show meaningful directional effects under specific moderators. Critically, however, none of these eight meta-analyses has tested learning modality—online, blended, face-to-face, or MOOC—as a moderator. The samples pooled in these syntheses were drawn almost entirely from traditional classroom contexts, or from contexts in which delivery modality was not reported.</w:t>
      </w:r>
    </w:p>
    <w:p>
      <w:pPr>
        <w:pStyle w:val="Heading2"/>
        <w:spacing w:line="480" w:lineRule="auto" w:before="0" w:after="0"/>
      </w:pPr>
      <w:r>
        <w:t>The Shift to Online Learning Environments</w:t>
      </w:r>
    </w:p>
    <w:p>
      <w:pPr>
        <w:spacing w:line="480" w:lineRule="auto" w:before="0" w:after="0"/>
        <w:ind w:firstLine="720"/>
      </w:pPr>
      <w:r>
        <w:rPr>
          <w:rFonts w:ascii="Times New Roman" w:hAnsi="Times New Roman" w:eastAsia="Times New Roman"/>
          <w:sz w:val="24"/>
        </w:rPr>
        <w:t>Online learning environments differ from face-to-face instruction along at least four dimensions that have theoretical implications for the personality-achievement relationship. First, online environments impose heightened self-regulation demands on learners, who must manage their own time, attention, and task sequencing without the physical and social scaffolding provided by a traditional classroom (Broadbent &amp; Poon, 2015). This demand is likely to amplify the importance of Conscientiousness, and particularly its industriousness and orderliness facets, for academic success. Second, online environments reduce social presence: learners interact with instructors and peers through mediated channels, often asynchronously, and the rich nonverbal cues of in-person interaction are absent or attenuated. This reduction in social presence may alter the role of Extraversion, which in face-to-face contexts is weakly but positively associated with classroom participation and instructor rapport, but which may become irrelevant or even counterproductive in asynchronous environments where social interaction is limited. Third, online environments afford greater temporal flexibility, which can either support self-directed learning or, conversely, facilitate procrastination (Cheng et al., 2023). Finally, online environments are technology-mediated, requiring engagement with novel digital platforms, learning management systems, and assessment tools; this technological novelty may engage Openness to Experience more strongly than in conventional classrooms, where instructional technology is more routine.</w:t>
      </w:r>
    </w:p>
    <w:p>
      <w:pPr>
        <w:spacing w:line="480" w:lineRule="auto" w:before="0" w:after="0"/>
        <w:ind w:firstLine="720"/>
      </w:pPr>
      <w:r>
        <w:rPr>
          <w:rFonts w:ascii="Times New Roman" w:hAnsi="Times New Roman" w:eastAsia="Times New Roman"/>
          <w:sz w:val="24"/>
        </w:rPr>
        <w:t xml:space="preserve">These four dimensions—self-regulation demands, reduced social presence, temporal flexibility, and technology mediation—motivate specific predictions about how the personality-achievement relationship should differ in online as compared with face-to-face contexts. In particular, if the meta-analytic Conscientiousness effect of approximately </w:t>
      </w:r>
      <w:r>
        <w:rPr>
          <w:rFonts w:ascii="Times New Roman" w:hAnsi="Times New Roman" w:eastAsia="Times New Roman"/>
          <w:i/>
          <w:sz w:val="24"/>
        </w:rPr>
        <w:t>ρ</w:t>
      </w:r>
      <w:r>
        <w:rPr>
          <w:rFonts w:ascii="Times New Roman" w:hAnsi="Times New Roman" w:eastAsia="Times New Roman"/>
          <w:sz w:val="24"/>
        </w:rPr>
        <w:t xml:space="preserve"> = .22–.27 reflects, in part, the benefits of organized study behavior in conventional classrooms, then the same effect should be at least as large in online environments, where self-regulation is more demanding. Openness may become more strongly predictive in online environments because of the premium placed on self-directed exploration of digital resources. Extraversion, conversely, may shift toward a null or negative association if the social rewards that sustain extraverted engagement are absent. Neuroticism may be more negatively associated with achievement in online environments because isolation and technology-related stressors disproportionately affect anxious learners. These predictions are theoretically grounded, but they have not been systematically evaluated against quantitative evidence.</w:t>
      </w:r>
    </w:p>
    <w:p>
      <w:pPr>
        <w:pStyle w:val="Heading2"/>
        <w:spacing w:line="480" w:lineRule="auto" w:before="0" w:after="0"/>
      </w:pPr>
      <w:r>
        <w:t>Big Five Personality Traits in Online Learning: Fragmented Evidence</w:t>
      </w:r>
    </w:p>
    <w:p>
      <w:pPr>
        <w:spacing w:line="480" w:lineRule="auto" w:before="0" w:after="0"/>
        <w:ind w:firstLine="720"/>
      </w:pPr>
      <w:r>
        <w:rPr>
          <w:rFonts w:ascii="Times New Roman" w:hAnsi="Times New Roman" w:eastAsia="Times New Roman"/>
          <w:sz w:val="24"/>
        </w:rPr>
        <w:t>Individual primary studies of the Big Five and academic achievement in online learning have accumulated in substantial numbers since approximately 2018, with a marked acceleration during the COVID-19 pandemic (2020–2022). The preliminary narrative synthesis most closely related to the present review is Hunter et al. (2025), who systematically screened 848 records from 2000 to June 2024 and included 23 primary studies. Their review documented a consistent positive association between Conscientiousness and online achievement (observed in 3 of 5 studies reporting GPA-type outcomes), negative associations with Neuroticism (in 3 of 5 studies), and essentially null associations with Extraversion (in all 5 studies). However, Hunter et al. (2025) explicitly did not pool effect sizes quantitatively, and the level-of-evidence rating for all 23 included studies was Level IV (low strength), precluding inferences about the magnitude or moderators of the observed associations.</w:t>
      </w:r>
    </w:p>
    <w:p>
      <w:pPr>
        <w:spacing w:line="480" w:lineRule="auto" w:before="0" w:after="0"/>
        <w:ind w:firstLine="720"/>
      </w:pPr>
      <w:r>
        <w:rPr>
          <w:rFonts w:ascii="Times New Roman" w:hAnsi="Times New Roman" w:eastAsia="Times New Roman"/>
          <w:sz w:val="24"/>
        </w:rPr>
        <w:t>Examining the primary literature directly reveals considerable heterogeneity in reported effect sizes. In fully online asynchronous contexts, Abe (2020) reported strong correlations between Conscientiousness and both quiz performance (</w:t>
      </w:r>
      <w:r>
        <w:rPr>
          <w:rFonts w:ascii="Times New Roman" w:hAnsi="Times New Roman" w:eastAsia="Times New Roman"/>
          <w:i/>
          <w:sz w:val="24"/>
        </w:rPr>
        <w:t>r</w:t>
      </w:r>
      <w:r>
        <w:rPr>
          <w:rFonts w:ascii="Times New Roman" w:hAnsi="Times New Roman" w:eastAsia="Times New Roman"/>
          <w:sz w:val="24"/>
        </w:rPr>
        <w:t xml:space="preserve"> = .48) and paper grades (</w:t>
      </w:r>
      <w:r>
        <w:rPr>
          <w:rFonts w:ascii="Times New Roman" w:hAnsi="Times New Roman" w:eastAsia="Times New Roman"/>
          <w:i/>
          <w:sz w:val="24"/>
        </w:rPr>
        <w:t>r</w:t>
      </w:r>
      <w:r>
        <w:rPr>
          <w:rFonts w:ascii="Times New Roman" w:hAnsi="Times New Roman" w:eastAsia="Times New Roman"/>
          <w:sz w:val="24"/>
        </w:rPr>
        <w:t xml:space="preserve"> = .37), with Openness also predicting paper grades (</w:t>
      </w:r>
      <w:r>
        <w:rPr>
          <w:rFonts w:ascii="Times New Roman" w:hAnsi="Times New Roman" w:eastAsia="Times New Roman"/>
          <w:i/>
          <w:sz w:val="24"/>
        </w:rPr>
        <w:t>r</w:t>
      </w:r>
      <w:r>
        <w:rPr>
          <w:rFonts w:ascii="Times New Roman" w:hAnsi="Times New Roman" w:eastAsia="Times New Roman"/>
          <w:sz w:val="24"/>
        </w:rPr>
        <w:t xml:space="preserve"> = .35). Alkış and Taşkaya Temizel (2018), comparing online and blended sections of the same course, found Conscientiousness to predict course grades in both modalities (online </w:t>
      </w:r>
      <w:r>
        <w:rPr>
          <w:rFonts w:ascii="Times New Roman" w:hAnsi="Times New Roman" w:eastAsia="Times New Roman"/>
          <w:i/>
          <w:sz w:val="24"/>
        </w:rPr>
        <w:t>r</w:t>
      </w:r>
      <w:r>
        <w:rPr>
          <w:rFonts w:ascii="Times New Roman" w:hAnsi="Times New Roman" w:eastAsia="Times New Roman"/>
          <w:sz w:val="24"/>
        </w:rPr>
        <w:t xml:space="preserve"> = .205; blended </w:t>
      </w:r>
      <w:r>
        <w:rPr>
          <w:rFonts w:ascii="Times New Roman" w:hAnsi="Times New Roman" w:eastAsia="Times New Roman"/>
          <w:i/>
          <w:sz w:val="24"/>
        </w:rPr>
        <w:t>r</w:t>
      </w:r>
      <w:r>
        <w:rPr>
          <w:rFonts w:ascii="Times New Roman" w:hAnsi="Times New Roman" w:eastAsia="Times New Roman"/>
          <w:sz w:val="24"/>
        </w:rPr>
        <w:t xml:space="preserve"> = .244), with other traits exhibiting only null effects. In the COVID-era German higher education context, Rodrigues et al. (2024) reported a moderate negative correlation between Conscientiousness and self-reported GPA (</w:t>
      </w:r>
      <w:r>
        <w:rPr>
          <w:rFonts w:ascii="Times New Roman" w:hAnsi="Times New Roman" w:eastAsia="Times New Roman"/>
          <w:i/>
          <w:sz w:val="24"/>
        </w:rPr>
        <w:t>r</w:t>
      </w:r>
      <w:r>
        <w:rPr>
          <w:rFonts w:ascii="Times New Roman" w:hAnsi="Times New Roman" w:eastAsia="Times New Roman"/>
          <w:sz w:val="24"/>
        </w:rPr>
        <w:t xml:space="preserve"> = −.228 with grades coded such that lower values indicate better performance), and significant negative associations between Neuroticism and study satisfaction and well-being. Rivers (2021), studying Japanese undergraduates in an asynchronous Moodle course (</w:t>
      </w:r>
      <w:r>
        <w:rPr>
          <w:rFonts w:ascii="Times New Roman" w:hAnsi="Times New Roman" w:eastAsia="Times New Roman"/>
          <w:i/>
          <w:sz w:val="24"/>
        </w:rPr>
        <w:t>N</w:t>
      </w:r>
      <w:r>
        <w:rPr>
          <w:rFonts w:ascii="Times New Roman" w:hAnsi="Times New Roman" w:eastAsia="Times New Roman"/>
          <w:sz w:val="24"/>
        </w:rPr>
        <w:t xml:space="preserve"> = 149), reported a direct negative effect of Extraversion on course achievement (</w:t>
      </w:r>
      <w:r>
        <w:rPr>
          <w:rFonts w:ascii="Times New Roman" w:hAnsi="Times New Roman" w:eastAsia="Times New Roman"/>
          <w:i/>
          <w:sz w:val="24"/>
        </w:rPr>
        <w:t>β</w:t>
      </w:r>
      <w:r>
        <w:rPr>
          <w:rFonts w:ascii="Times New Roman" w:hAnsi="Times New Roman" w:eastAsia="Times New Roman"/>
          <w:sz w:val="24"/>
        </w:rPr>
        <w:t xml:space="preserve"> = −.168, </w:t>
      </w:r>
      <w:r>
        <w:rPr>
          <w:rFonts w:ascii="Times New Roman" w:hAnsi="Times New Roman" w:eastAsia="Times New Roman"/>
          <w:i/>
          <w:sz w:val="24"/>
        </w:rPr>
        <w:t>p</w:t>
      </w:r>
      <w:r>
        <w:rPr>
          <w:rFonts w:ascii="Times New Roman" w:hAnsi="Times New Roman" w:eastAsia="Times New Roman"/>
          <w:sz w:val="24"/>
        </w:rPr>
        <w:t xml:space="preserve"> &lt; .01), consistent with the prediction that social-cue deprivation in asynchronous environments disadvantages extraverted learners.</w:t>
      </w:r>
    </w:p>
    <w:p>
      <w:pPr>
        <w:spacing w:line="480" w:lineRule="auto" w:before="0" w:after="0"/>
        <w:ind w:firstLine="720"/>
      </w:pPr>
      <w:r>
        <w:rPr>
          <w:rFonts w:ascii="Times New Roman" w:hAnsi="Times New Roman" w:eastAsia="Times New Roman"/>
          <w:sz w:val="24"/>
        </w:rPr>
        <w:t xml:space="preserve">Other primary studies reveal patterns that diverge from conventional face-to-face findings. In a large Chinese K-12 sample studied by Wang, Wang, and Li (2023; </w:t>
      </w:r>
      <w:r>
        <w:rPr>
          <w:rFonts w:ascii="Times New Roman" w:hAnsi="Times New Roman" w:eastAsia="Times New Roman"/>
          <w:i/>
          <w:sz w:val="24"/>
        </w:rPr>
        <w:t>N</w:t>
      </w:r>
      <w:r>
        <w:rPr>
          <w:rFonts w:ascii="Times New Roman" w:hAnsi="Times New Roman" w:eastAsia="Times New Roman"/>
          <w:sz w:val="24"/>
        </w:rPr>
        <w:t xml:space="preserve"> = 1,625), Big Five traits were associated with academic achievement only indirectly through online learning engagement, with Conscientiousness (</w:t>
      </w:r>
      <w:r>
        <w:rPr>
          <w:rFonts w:ascii="Times New Roman" w:hAnsi="Times New Roman" w:eastAsia="Times New Roman"/>
          <w:i/>
          <w:sz w:val="24"/>
        </w:rPr>
        <w:t>β</w:t>
      </w:r>
      <w:r>
        <w:rPr>
          <w:rFonts w:ascii="Times New Roman" w:hAnsi="Times New Roman" w:eastAsia="Times New Roman"/>
          <w:sz w:val="24"/>
        </w:rPr>
        <w:t xml:space="preserve"> = .322) and Openness (</w:t>
      </w:r>
      <w:r>
        <w:rPr>
          <w:rFonts w:ascii="Times New Roman" w:hAnsi="Times New Roman" w:eastAsia="Times New Roman"/>
          <w:i/>
          <w:sz w:val="24"/>
        </w:rPr>
        <w:t>β</w:t>
      </w:r>
      <w:r>
        <w:rPr>
          <w:rFonts w:ascii="Times New Roman" w:hAnsi="Times New Roman" w:eastAsia="Times New Roman"/>
          <w:sz w:val="24"/>
        </w:rPr>
        <w:t xml:space="preserve"> = .253) serving as the strongest predictors of engagement. Yu (2021), in a Chinese MOOC platform sample (</w:t>
      </w:r>
      <w:r>
        <w:rPr>
          <w:rFonts w:ascii="Times New Roman" w:hAnsi="Times New Roman" w:eastAsia="Times New Roman"/>
          <w:i/>
          <w:sz w:val="24"/>
        </w:rPr>
        <w:t>N</w:t>
      </w:r>
      <w:r>
        <w:rPr>
          <w:rFonts w:ascii="Times New Roman" w:hAnsi="Times New Roman" w:eastAsia="Times New Roman"/>
          <w:sz w:val="24"/>
        </w:rPr>
        <w:t xml:space="preserve"> = 1,152), reported that Agreeableness (</w:t>
      </w:r>
      <w:r>
        <w:rPr>
          <w:rFonts w:ascii="Times New Roman" w:hAnsi="Times New Roman" w:eastAsia="Times New Roman"/>
          <w:i/>
          <w:sz w:val="24"/>
        </w:rPr>
        <w:t>β</w:t>
      </w:r>
      <w:r>
        <w:rPr>
          <w:rFonts w:ascii="Times New Roman" w:hAnsi="Times New Roman" w:eastAsia="Times New Roman"/>
          <w:sz w:val="24"/>
        </w:rPr>
        <w:t xml:space="preserve"> = .442) and Openness (</w:t>
      </w:r>
      <w:r>
        <w:rPr>
          <w:rFonts w:ascii="Times New Roman" w:hAnsi="Times New Roman" w:eastAsia="Times New Roman"/>
          <w:i/>
          <w:sz w:val="24"/>
        </w:rPr>
        <w:t>β</w:t>
      </w:r>
      <w:r>
        <w:rPr>
          <w:rFonts w:ascii="Times New Roman" w:hAnsi="Times New Roman" w:eastAsia="Times New Roman"/>
          <w:sz w:val="24"/>
        </w:rPr>
        <w:t xml:space="preserve"> = .305) were stronger predictors of objective MOOC composite scores than Conscientiousness (</w:t>
      </w:r>
      <w:r>
        <w:rPr>
          <w:rFonts w:ascii="Times New Roman" w:hAnsi="Times New Roman" w:eastAsia="Times New Roman"/>
          <w:i/>
          <w:sz w:val="24"/>
        </w:rPr>
        <w:t>β</w:t>
      </w:r>
      <w:r>
        <w:rPr>
          <w:rFonts w:ascii="Times New Roman" w:hAnsi="Times New Roman" w:eastAsia="Times New Roman"/>
          <w:sz w:val="24"/>
        </w:rPr>
        <w:t xml:space="preserve"> = .057), suggesting that cooperative behaviors and novelty orientation may be especially salient in Chinese collectivistic contexts (cf. Mammadov, 2022; Chen et al., 2025). Bahçekapılı and Karaman (2020), in a Turkish distance-education context (</w:t>
      </w:r>
      <w:r>
        <w:rPr>
          <w:rFonts w:ascii="Times New Roman" w:hAnsi="Times New Roman" w:eastAsia="Times New Roman"/>
          <w:i/>
          <w:sz w:val="24"/>
        </w:rPr>
        <w:t>N</w:t>
      </w:r>
      <w:r>
        <w:rPr>
          <w:rFonts w:ascii="Times New Roman" w:hAnsi="Times New Roman" w:eastAsia="Times New Roman"/>
          <w:sz w:val="24"/>
        </w:rPr>
        <w:t xml:space="preserve"> = 525), found that all five Big Five traits exhibited non-significant direct correlations with GPA, with their effects fully mediated through self-efficacy and external locus of control.</w:t>
      </w:r>
    </w:p>
    <w:p>
      <w:pPr>
        <w:spacing w:line="480" w:lineRule="auto" w:before="0" w:after="0"/>
        <w:ind w:firstLine="720"/>
      </w:pPr>
      <w:r>
        <w:rPr>
          <w:rFonts w:ascii="Times New Roman" w:hAnsi="Times New Roman" w:eastAsia="Times New Roman"/>
          <w:sz w:val="24"/>
        </w:rPr>
        <w:t>In aggregate, this primary literature suggests that the Conscientiousness-achievement link observed in face-to-face contexts is generally preserved in online settings, but that (a) the magnitude of the effect varies widely across samples, (b) the role of Extraversion may shift in theoretically predictable directions when social cues are attenuated, and (c) Openness and Agreeableness effects may be amplified in specific cultural or disciplinary contexts. However, these primary studies vary substantially in sample composition, modality (fully online, blended, synchronous, asynchronous, MOOC), measurement instruments (BFI, BFI-2, BFI-S, NEO-FFI, IPIP, HEXACO, TIPI), outcome operationalizations (GPA, course grades, standardized exams, LMS behavior, composite scores), and era (pre-COVID, COVID, post-COVID). Without a quantitative synthesis, it is not possible to determine whether these apparent heterogeneities reflect true moderator effects, sampling noise, or methodological artifacts.</w:t>
      </w:r>
    </w:p>
    <w:p>
      <w:pPr>
        <w:pStyle w:val="Heading2"/>
        <w:spacing w:line="480" w:lineRule="auto" w:before="0" w:after="0"/>
      </w:pPr>
      <w:r>
        <w:t>Potential Moderators of the Personality-Achievement Association in Online Contexts</w:t>
      </w:r>
    </w:p>
    <w:p>
      <w:pPr>
        <w:spacing w:line="480" w:lineRule="auto" w:before="0" w:after="0"/>
        <w:ind w:firstLine="720"/>
      </w:pPr>
      <w:r>
        <w:rPr>
          <w:rFonts w:ascii="Times New Roman" w:hAnsi="Times New Roman" w:eastAsia="Times New Roman"/>
          <w:sz w:val="24"/>
        </w:rPr>
        <w:t>Several moderators are theoretically and empirically motivated for the present review. First, learning modality itself—fully online, blended, MOOC, synchronous online, asynchronous online—may moderate the personality-achievement association because the four dimensions of online learning identified above vary in intensity across modalities. Second, education level (K-12, undergraduate, graduate, adult) has been shown to moderate personality-achievement relationships in face-to-face contexts (Mammadov, 2022; Meyer et al., 2023), with Openness effects declining across the educational trajectory while Conscientiousness effects remain stable; whether this pattern holds in online contexts is unknown. Third, region and cultural context may moderate effects: Mammadov (2022) and Chen et al. (2025) both reported amplified Conscientiousness and Agreeableness effects in East Asian and other collectivistic samples, and Chen et al. (2025) additionally reported that Extraversion is significantly negative in individualistic contexts but null in collectivistic contexts. Fourth, the COVID-19 era may constitute a meaningful moderator: pre-COVID online learning was typically self-selected and involved learners with strong motivation for online study, whereas COVID-era online learning was imposed on all learners regardless of preference, and post-COVID online learning reflects a mixture of voluntary and mandatory adoption. Fifth, the choice of personality instrument (BFI, NEO-FFI, IPIP, HEXACO, TIPI) has been shown by McAbee and Oswald (2013) to moderate Conscientiousness estimates, with short-form instruments (e.g., Mini-Markers, TIPI) yielding smaller effects; this moderator is particularly relevant for the present review because online studies more frequently use short-form instruments than traditional paper-and-pencil contexts.</w:t>
      </w:r>
    </w:p>
    <w:p>
      <w:pPr>
        <w:pStyle w:val="Heading2"/>
        <w:spacing w:line="480" w:lineRule="auto" w:before="0" w:after="0"/>
      </w:pPr>
      <w:r>
        <w:t>The Present Study</w:t>
      </w:r>
    </w:p>
    <w:p>
      <w:pPr>
        <w:spacing w:line="480" w:lineRule="auto" w:before="0" w:after="0"/>
        <w:ind w:firstLine="720"/>
      </w:pPr>
      <w:r>
        <w:rPr>
          <w:rFonts w:ascii="Times New Roman" w:hAnsi="Times New Roman" w:eastAsia="Times New Roman"/>
          <w:sz w:val="24"/>
        </w:rPr>
        <w:t>The present systematic review and meta-analysis is, to our knowledge, the first quantitative synthesis of the association between Big Five personality traits and academic achievement that focuses specifically on online learning environments. Our review addresses three research questions and evaluates five directional hypotheses. The research questions are as follows. First (RQ1), what is the pooled magnitude of the association between each Big Five trait and academic achievement in online learning environments, and how does this magnitude compare with published face-to-face benchmarks? Second (RQ2), does the personality-achievement association vary systematically across learning modality, education level, region, era, outcome type, and personality instrument? Third (RQ3), is the personality-achievement association in online environments fully accounted for by mediating constructs such as self-efficacy and self-regulation, or does it exhibit direct effects beyond these mediators?</w:t>
      </w:r>
    </w:p>
    <w:p>
      <w:pPr>
        <w:spacing w:line="480" w:lineRule="auto" w:before="0" w:after="0"/>
        <w:ind w:firstLine="720"/>
      </w:pPr>
      <w:r>
        <w:rPr>
          <w:rFonts w:ascii="Times New Roman" w:hAnsi="Times New Roman" w:eastAsia="Times New Roman"/>
          <w:sz w:val="24"/>
        </w:rPr>
        <w:t xml:space="preserve">Five directional hypotheses, pre-specified in the OSF registration (https://osf.io/e5w47/), are evaluated. Hypothesis 1 (H1) states that Conscientiousness will show the strongest positive pooled correlation with academic achievement in online learning environments, with an expected pooled </w:t>
      </w:r>
      <w:r>
        <w:rPr>
          <w:rFonts w:ascii="Times New Roman" w:hAnsi="Times New Roman" w:eastAsia="Times New Roman"/>
          <w:i/>
          <w:sz w:val="24"/>
        </w:rPr>
        <w:t>ρ</w:t>
      </w:r>
      <w:r>
        <w:rPr>
          <w:rFonts w:ascii="Times New Roman" w:hAnsi="Times New Roman" w:eastAsia="Times New Roman"/>
          <w:sz w:val="24"/>
        </w:rPr>
        <w:t xml:space="preserve"> of .20 to .35, consistent with the face-to-face benchmarks reviewed above and potentially amplified in Asian samples. Hypothesis 2 (H2) states that Openness will show the second-strongest positive correlation, potentially stronger than in face-to-face contexts, reflecting the premium placed on self-directed exploration in online environments. Hypothesis 3 (H3) states that Agreeableness will show a small positive correlation, potentially weaker than in face-to-face contexts because cooperative group behaviors are less central in asynchronous online environments. Hypothesis 4 (H4) states that Neuroticism will show a negative correlation, more pronounced in fully online than in blended modalities, reflecting the isolating and technology-mediated nature of fully online environments. Hypothesis 5 (H5) states that Extraversion will show a null or weak negative correlation, with possible facet-level cancellation between sociability (expected negative) and assertiveness (expected positive) components, reflecting the reduced social presence of online environments. Hypotheses H2, H4, and H5 constitute the novel contribution of this review, as they predict modality-specific divergences from established patterns observed in face-to-face meta-analyses.</w:t>
      </w:r>
    </w:p>
    <w:p>
      <w:pPr>
        <w:spacing w:line="480" w:lineRule="auto" w:before="0" w:after="0"/>
        <w:ind w:firstLine="720"/>
      </w:pPr>
      <w:r>
        <w:rPr>
          <w:rFonts w:ascii="Times New Roman" w:hAnsi="Times New Roman" w:eastAsia="Times New Roman"/>
          <w:sz w:val="24"/>
        </w:rPr>
        <w:t>A null result for any of these hypotheses would itself be informative, indicating that online and face-to-face personality-achievement relationships are equivalent in the corresponding dimension. The present review therefore offers the first quantitative evaluation of whether personality operates differently across learning modalities, and provides a necessary empirical foundation for both theoretical refinement and evidence-informed educational practice in the post-pandemic era.</w:t>
      </w:r>
    </w:p>
    <w:p>
      <w:pPr>
        <w:pStyle w:val="Heading1"/>
        <w:spacing w:line="480" w:lineRule="auto" w:before="0" w:after="0"/>
      </w:pPr>
      <w:r>
        <w:t>Methods</w:t>
      </w:r>
    </w:p>
    <w:p>
      <w:pPr>
        <w:pStyle w:val="Heading2"/>
        <w:spacing w:line="480" w:lineRule="auto" w:before="0" w:after="0"/>
      </w:pPr>
      <w:r>
        <w:t>Pre-registration and Reporting Standards</w:t>
      </w:r>
    </w:p>
    <w:p>
      <w:pPr>
        <w:spacing w:line="480" w:lineRule="auto" w:before="0" w:after="0"/>
        <w:ind w:firstLine="720"/>
      </w:pPr>
      <w:r>
        <w:rPr>
          <w:rFonts w:ascii="Times New Roman" w:hAnsi="Times New Roman" w:eastAsia="Times New Roman"/>
          <w:sz w:val="24"/>
        </w:rPr>
        <w:t>The protocol for this systematic review and meta-analysis was pre-registered on OSF Registries (https://osf.io/e5w47/; DOI: 10.17605/OSF.IO/E5W47) on April 23, 2026, prior to the formal database search and quantitative synthesis. The registration template used was OSF Preregistration, with the full protocol structured according to the Preferred Reporting Items for Systematic Review and Meta-Analysis Protocols (PRISMA-P) 2015 statement (Moher et al., 2015). The review was originally drafted for PROSPERO submission, but was re-routed to OSF Registries because PROSPERO requires a health-related outcome, which this educationally focused review does not satisfy. The present manuscript is reported in accordance with the PRISMA 2020 statement (Page et al., 2021), and the completed PRISMA 2020 checklist is provided as Supplementary Material on the OSF project page (https://osf.io/79m5j/). Any deviations from the pre-registered protocol are transparently disclosed in a dedicated subsection below.</w:t>
      </w:r>
    </w:p>
    <w:p>
      <w:pPr>
        <w:pStyle w:val="Heading2"/>
        <w:spacing w:line="480" w:lineRule="auto" w:before="0" w:after="0"/>
      </w:pPr>
      <w:r>
        <w:t>Eligibility Criteria</w:t>
      </w:r>
    </w:p>
    <w:p>
      <w:pPr>
        <w:spacing w:line="480" w:lineRule="auto" w:before="0" w:after="0"/>
        <w:ind w:firstLine="720"/>
      </w:pPr>
      <w:r>
        <w:rPr>
          <w:rFonts w:ascii="Times New Roman" w:hAnsi="Times New Roman" w:eastAsia="Times New Roman"/>
          <w:sz w:val="24"/>
        </w:rPr>
        <w:t>Eligibility was defined using the PICOS (Population, Intervention/Exposure, Comparator, Outcome, Study design) framework. Studies were included if they satisfied all of the following criteria. Population: students at any educational level—K-12, undergraduate, graduate, or adult learner—enrolled in an online learning environment. No geographic or demographic restrictions were applied to participants, provided that samples comprised at least 10 learners. Exposure: Big Five or HEXACO personality traits measured with a validated inventory, including the Big Five Inventory (BFI, BFI-2, BFI-44, BFI-S), the NEO Personality Inventory–Revised (NEO-PI-R) or NEO Five-Factor Inventory (NEO-FFI, NEO-FFI-3), the International Personality Item Pool (IPIP, including Mini-IPIP), the HEXACO Personality Inventory–Revised (HEXACO-PI-R, HEXACO-60), the Ten-Item Personality Inventory (TIPI, TIPI-J), or any peer-reviewed Big Five–aligned scale with published reliability. Measures based on typological frameworks (e.g., Myers-Briggs Type Indicator) or on single-trait constructs (e.g., Grit, Proactive Personality) not mappable to the Five-Factor Model were excluded. Comparator: not applicable, because the synthesis addresses observational correlational associations rather than group-comparison designs. Outcome: the primary outcome was academic achievement, operationalized as grade point average (GPA), course grade, standardized exam score, or composite learning performance score. Secondary outcomes, analyzed only if at least 10 studies reported each indicator, were academic satisfaction, academic engagement, learning-related behaviors (e.g., learning management system use, completion rate), and dropout or persistence. Study design: cross-sectional correlational, longitudinal, or prospective studies reporting sufficient statistics for effect-size extraction or conversion. Qualitative-only studies, commentary, editorial, narrative review, and single-case studies with fewer than 10 participants were excluded, although the reference lists of narrative reviews were hand-searched for original primary studies.</w:t>
      </w:r>
    </w:p>
    <w:p>
      <w:pPr>
        <w:spacing w:line="480" w:lineRule="auto" w:before="0" w:after="0"/>
        <w:ind w:firstLine="720"/>
      </w:pPr>
      <w:r>
        <w:rPr>
          <w:rFonts w:ascii="Times New Roman" w:hAnsi="Times New Roman" w:eastAsia="Times New Roman"/>
          <w:sz w:val="24"/>
        </w:rPr>
        <w:t>Studies were restricted to those published in English, in peer-reviewed journals, peer-reviewed conference proceedings, or doctoral dissertations. Unpublished manuscripts and preprints that had not undergone peer review were excluded in order to maintain a minimum quality threshold. No restriction was placed on publication year. Studies in which learners were non-human (e.g., AI agents or simulated students) were excluded, as were studies of fully face-to-face samples with no online learning component. When a study's modality status was ambiguous, the corresponding author was contacted for clarification, with up to two contact attempts separated by at least two weeks; studies for which ambiguity could not be resolved were excluded, and the exclusion reason was recorded in the flow diagram.</w:t>
      </w:r>
    </w:p>
    <w:p>
      <w:pPr>
        <w:pStyle w:val="Heading2"/>
        <w:spacing w:line="480" w:lineRule="auto" w:before="0" w:after="0"/>
      </w:pPr>
      <w:r>
        <w:t>Information Sources and Search Strategy</w:t>
      </w:r>
    </w:p>
    <w:p>
      <w:pPr>
        <w:spacing w:line="480" w:lineRule="auto" w:before="0" w:after="0"/>
        <w:ind w:firstLine="720"/>
      </w:pPr>
      <w:r>
        <w:rPr>
          <w:rFonts w:ascii="Times New Roman" w:hAnsi="Times New Roman" w:eastAsia="Times New Roman"/>
          <w:sz w:val="24"/>
        </w:rPr>
        <w:t>The pre-registered search plan specified six electronic databases—PubMed/MEDLINE, PsycINFO, the Education Resources Information Center (ERIC), Web of Science (Core Collection), Scopus, and ProQuest Dissertations &amp; Theses Global—supplemented by Google Scholar (first 200 hits per query) and forward/backward citation snowballing. Because the review was executed in a computing environment that did not have institutional access to the subscription-gated databases (Scopus, Web of Science, PsycINFO), and because the direct E-utilities and OpenAlex APIs were unavailable due to network allowlist restrictions, the final search was executed through a web-based search interface equivalent in coverage to Google Scholar, combined with targeted retrieval from open-access repositories (PubMed Central, Frontiers, MDPI, Open Praxis). This constitutes a deviation from the pre-registered protocol and is discussed transparently under “Deviations from the Pre-registered Protocol.” The deviation was mitigated by applying the same pre-specified three-concept Boolean search strategy across all executed queries and by retaining the original retrieval logs on the OSF project.</w:t>
      </w:r>
    </w:p>
    <w:p>
      <w:pPr>
        <w:spacing w:line="480" w:lineRule="auto" w:before="0" w:after="0"/>
        <w:ind w:firstLine="720"/>
      </w:pPr>
      <w:r>
        <w:rPr>
          <w:rFonts w:ascii="Times New Roman" w:hAnsi="Times New Roman" w:eastAsia="Times New Roman"/>
          <w:sz w:val="24"/>
        </w:rPr>
        <w:t>The search strategy combined three concept blocks with the Boolean operator AND. Concept 1 (personality) comprised the terms "Big Five," "Five-Factor Model," "FFM," "HEXACO," "BFI," "NEO-PI-R," "NEO-FFI," "IPIP," "conscientiousness," "openness to experience," "extraversion," "agreeableness," "neuroticism," "emotional stability," and "personality traits," connected by OR. Concept 2 (online learning) comprised "online learning," "e-learning," "distance learning," "remote learning," "virtual learning," "blended learning," "hybrid learning," "MOOC," "massive open online course," "web-based learning," "computer-mediated learning," "learning management system," "LMS," "online course," "synchronous online," and "asynchronous online." Concept 3 (academic outcome) comprised "academic performance," "academic achievement," "GPA," "grade point average," "test score," "course grade," "learning outcome," "learning performance," and "academic success." Language and publication-type filters were applied post hoc during screening rather than at the database level. The complete search log, including the exact query syntax for each executed search, the date of execution, and the hit count, is deposited as a supplementary file (search_log.md) on the OSF project.</w:t>
      </w:r>
    </w:p>
    <w:p>
      <w:pPr>
        <w:spacing w:line="480" w:lineRule="auto" w:before="0" w:after="0"/>
        <w:ind w:firstLine="720"/>
      </w:pPr>
      <w:r>
        <w:rPr>
          <w:rFonts w:ascii="Times New Roman" w:hAnsi="Times New Roman" w:eastAsia="Times New Roman"/>
          <w:sz w:val="24"/>
        </w:rPr>
        <w:t>In addition to the database searches, forward citation tracking (cited-by) and backward citation tracking (reference list scanning) were performed for all studies identified as eligible, and for the eight benchmark meta-analyses that constitute the face-to-face comparison corpus (Poropat, 2009; McAbee &amp; Oswald, 2013; Vedel, 2014; Stajkovic et al., 2018; Mammadov, 2022; Zell &amp; Lesick, 2022; Meyer et al., 2023; Chen et al., 2025). Reference lists of the most directly relevant narrative review (Hunter et al., 2025) were also hand-searched.</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All retrieved records were imported into a reference manager (Zotero) and de-duplicated both automatically and by manual verification of near-duplicates. The remaining records were screened in two stages. At Stage 1, one reviewer (ET) screened titles and abstracts against the eligibility criteria. To estimate intra-rater reliability under a single-reviewer workflow, 10% of the title/abstract records were randomly re-screened after a wash-out interval of at least seven days, without reference to the initial decisions; the intra-rater reliability target was Cohen's κ ≥ 0.80. When the observed κ fell below this threshold, the eligibility criteria were refined and the full set was re-screened. At Stage 2, full-text reports of the records that passed title/abstract screening were retrieved and assessed against the detailed eligibility criteria; 20% of full-text assessments were randomly re-performed after a wash-out interval of at least seven days, with the same κ ≥ 0.80 target. All exclusions at the full-text stage were recorded with a specific reason (wrong population, wrong exposure, wrong outcome, wrong modality, non-Big-Five personality framework, insufficient statistics, duplicate sample) for reporting in the PRISMA 2020 flow diagram.</w:t>
      </w:r>
    </w:p>
    <w:p>
      <w:pPr>
        <w:pStyle w:val="Heading2"/>
        <w:spacing w:line="480" w:lineRule="auto" w:before="0" w:after="0"/>
      </w:pPr>
      <w:r>
        <w:t>Data Extraction</w:t>
      </w:r>
    </w:p>
    <w:p>
      <w:pPr>
        <w:spacing w:line="480" w:lineRule="auto" w:before="0" w:after="0"/>
        <w:ind w:firstLine="720"/>
      </w:pPr>
      <w:r>
        <w:rPr>
          <w:rFonts w:ascii="Times New Roman" w:hAnsi="Times New Roman" w:eastAsia="Times New Roman"/>
          <w:sz w:val="24"/>
        </w:rPr>
        <w:t xml:space="preserve">A pre-specified data extraction form was developed prior to registration and is available on the OSF project (data_extraction.csv; data_extraction_README.md). Extracted fields included study identification (author, year, DOI, journal, country of data collection), sample characteristics (analytic </w:t>
      </w:r>
      <w:r>
        <w:rPr>
          <w:rFonts w:ascii="Times New Roman" w:hAnsi="Times New Roman" w:eastAsia="Times New Roman"/>
          <w:i/>
          <w:sz w:val="24"/>
        </w:rPr>
        <w:t>N</w:t>
      </w:r>
      <w:r>
        <w:rPr>
          <w:rFonts w:ascii="Times New Roman" w:hAnsi="Times New Roman" w:eastAsia="Times New Roman"/>
          <w:sz w:val="24"/>
        </w:rPr>
        <w:t xml:space="preserve">, age mean and </w:t>
      </w:r>
      <w:r>
        <w:rPr>
          <w:rFonts w:ascii="Times New Roman" w:hAnsi="Times New Roman" w:eastAsia="Times New Roman"/>
          <w:i/>
          <w:sz w:val="24"/>
        </w:rPr>
        <w:t>SD</w:t>
      </w:r>
      <w:r>
        <w:rPr>
          <w:rFonts w:ascii="Times New Roman" w:hAnsi="Times New Roman" w:eastAsia="Times New Roman"/>
          <w:sz w:val="24"/>
        </w:rPr>
        <w:t xml:space="preserve">, gender composition, education level, discipline, recruitment method), learning context (modality, platform or learning management system, course duration, era), personality measurement (instrument, version, item count, Cronbach's alpha or McDonald's omega per trait), outcome measurement (instrument, timing, reliability), and effect-size statistics (Pearson </w:t>
      </w:r>
      <w:r>
        <w:rPr>
          <w:rFonts w:ascii="Times New Roman" w:hAnsi="Times New Roman" w:eastAsia="Times New Roman"/>
          <w:i/>
          <w:sz w:val="24"/>
        </w:rPr>
        <w:t>r</w:t>
      </w:r>
      <w:r>
        <w:rPr>
          <w:rFonts w:ascii="Times New Roman" w:hAnsi="Times New Roman" w:eastAsia="Times New Roman"/>
          <w:sz w:val="24"/>
        </w:rPr>
        <w:t xml:space="preserve">, standardized </w:t>
      </w:r>
      <w:r>
        <w:rPr>
          <w:rFonts w:ascii="Times New Roman" w:hAnsi="Times New Roman" w:eastAsia="Times New Roman"/>
          <w:i/>
          <w:sz w:val="24"/>
        </w:rPr>
        <w:t>β</w:t>
      </w:r>
      <w:r>
        <w:rPr>
          <w:rFonts w:ascii="Times New Roman" w:hAnsi="Times New Roman" w:eastAsia="Times New Roman"/>
          <w:sz w:val="24"/>
        </w:rPr>
        <w:t xml:space="preserve">, Cohen's d, η², </w:t>
      </w:r>
      <w:r>
        <w:rPr>
          <w:rFonts w:ascii="Times New Roman" w:hAnsi="Times New Roman" w:eastAsia="Times New Roman"/>
          <w:i/>
          <w:sz w:val="24"/>
        </w:rPr>
        <w:t>t</w:t>
      </w:r>
      <w:r>
        <w:rPr>
          <w:rFonts w:ascii="Times New Roman" w:hAnsi="Times New Roman" w:eastAsia="Times New Roman"/>
          <w:sz w:val="24"/>
        </w:rPr>
        <w:t xml:space="preserve">, or </w:t>
      </w:r>
      <w:r>
        <w:rPr>
          <w:rFonts w:ascii="Times New Roman" w:hAnsi="Times New Roman" w:eastAsia="Times New Roman"/>
          <w:i/>
          <w:sz w:val="24"/>
        </w:rPr>
        <w:t>F</w:t>
      </w:r>
      <w:r>
        <w:rPr>
          <w:rFonts w:ascii="Times New Roman" w:hAnsi="Times New Roman" w:eastAsia="Times New Roman"/>
          <w:sz w:val="24"/>
        </w:rPr>
        <w:t>, with associated sample size and confidence interval). Data extraction was performed by one reviewer (ET); a randomly selected 10% of included studies was re-extracted after a wash-out interval of at least seven days, with target intra-rater reliability of Cohen's κ ≥ 0.80 for categorical fields and intraclass correlation ICC(2,1) ≥ 0.90 for continuous fields. When effect-size statistics required to populate the extraction form were not reported, the corresponding author of the primary study was contacted by email, with up to two attempts separated by at least two weeks; unanswered requests were recorded and the relevant effect size was either converted from an alternative statistic (see below) or excluded from the trait-specific pool with the reason logged.</w:t>
      </w:r>
    </w:p>
    <w:p>
      <w:pPr>
        <w:pStyle w:val="Heading2"/>
        <w:spacing w:line="480" w:lineRule="auto" w:before="0" w:after="0"/>
      </w:pPr>
      <w:r>
        <w:t>Risk of Bias Assessment</w:t>
      </w:r>
    </w:p>
    <w:p>
      <w:pPr>
        <w:spacing w:line="480" w:lineRule="auto" w:before="0" w:after="0"/>
        <w:ind w:firstLine="720"/>
      </w:pPr>
      <w:r>
        <w:rPr>
          <w:rFonts w:ascii="Times New Roman" w:hAnsi="Times New Roman" w:eastAsia="Times New Roman"/>
          <w:sz w:val="24"/>
        </w:rPr>
        <w:t>Risk of bias for each included study was assessed using the Joanna Briggs Institute (JBI) Critical Appraisal Checklist for Analytical Cross-Sectional Studies (Moola et al., 2017), which comprises eight items: (1) clearly defined inclusion criteria for the sample, (2) detailed description of study subjects and setting, (3) valid and reliable measurement of exposure (the personality inventory), (4) objective and standardized measurement of the outcome, (5) identification of confounding factors, (6) strategies to address confounding, (7) valid and reliable measurement of the outcome, and (8) appropriate statistical analysis. Each item was rated as Yes, No, or Unclear, and an aggregate score ranging from 0 to 8 was computed, with higher scores indicating lower risk of bias. The aggregate score was used as a continuous moderator in meta-regression analyses, and a binary dichotomization at the threshold of 5 was used for sensitivity analyses. To estimate intra-rater reliability under single-reviewer assessment, 20% of included studies were re-assessed after a wash-out interval of at least seven days; the target κ was ≥ 0.80.</w:t>
      </w:r>
    </w:p>
    <w:p>
      <w:pPr>
        <w:pStyle w:val="Heading2"/>
        <w:spacing w:line="480" w:lineRule="auto" w:before="0" w:after="0"/>
      </w:pPr>
      <w:r>
        <w:t>Effect Size Metric and Transformations</w:t>
      </w:r>
    </w:p>
    <w:p>
      <w:pPr>
        <w:spacing w:line="480" w:lineRule="auto" w:before="0" w:after="0"/>
        <w:ind w:firstLine="720"/>
      </w:pPr>
      <w:r>
        <w:rPr>
          <w:rFonts w:ascii="Times New Roman" w:hAnsi="Times New Roman" w:eastAsia="Times New Roman"/>
          <w:sz w:val="24"/>
        </w:rPr>
        <w:t>The primary effect-size metric was the Pearson product-moment correlation coefficient (</w:t>
      </w:r>
      <w:r>
        <w:rPr>
          <w:rFonts w:ascii="Times New Roman" w:hAnsi="Times New Roman" w:eastAsia="Times New Roman"/>
          <w:i/>
          <w:sz w:val="24"/>
        </w:rPr>
        <w:t>r</w:t>
      </w:r>
      <w:r>
        <w:rPr>
          <w:rFonts w:ascii="Times New Roman" w:hAnsi="Times New Roman" w:eastAsia="Times New Roman"/>
          <w:sz w:val="24"/>
        </w:rPr>
        <w:t xml:space="preserve">) between each Big Five trait score and the academic achievement outcome. Prior to pooling, every extracted </w:t>
      </w:r>
      <w:r>
        <w:rPr>
          <w:rFonts w:ascii="Times New Roman" w:hAnsi="Times New Roman" w:eastAsia="Times New Roman"/>
          <w:i/>
          <w:sz w:val="24"/>
        </w:rPr>
        <w:t>r</w:t>
      </w:r>
      <w:r>
        <w:rPr>
          <w:rFonts w:ascii="Times New Roman" w:hAnsi="Times New Roman" w:eastAsia="Times New Roman"/>
          <w:sz w:val="24"/>
        </w:rPr>
        <w:t xml:space="preserve"> was transformed to Fisher's </w:t>
      </w:r>
      <w:r>
        <w:rPr>
          <w:rFonts w:ascii="Times New Roman" w:hAnsi="Times New Roman" w:eastAsia="Times New Roman"/>
          <w:i/>
          <w:sz w:val="24"/>
        </w:rPr>
        <w:t>z</w:t>
      </w:r>
      <w:r>
        <w:rPr>
          <w:rFonts w:ascii="Times New Roman" w:hAnsi="Times New Roman" w:eastAsia="Times New Roman"/>
          <w:sz w:val="24"/>
        </w:rPr>
        <w:t xml:space="preserve"> (Borenstein et al., 2009) using the formula </w:t>
      </w:r>
      <w:r>
        <w:rPr>
          <w:rFonts w:ascii="Times New Roman" w:hAnsi="Times New Roman" w:eastAsia="Times New Roman"/>
          <w:i/>
          <w:sz w:val="24"/>
        </w:rPr>
        <w:t>z</w:t>
      </w:r>
      <w:r>
        <w:rPr>
          <w:rFonts w:ascii="Times New Roman" w:hAnsi="Times New Roman" w:eastAsia="Times New Roman"/>
          <w:sz w:val="24"/>
        </w:rPr>
        <w:t xml:space="preserve"> = 0.5 × ln[(1 + </w:t>
      </w:r>
      <w:r>
        <w:rPr>
          <w:rFonts w:ascii="Times New Roman" w:hAnsi="Times New Roman" w:eastAsia="Times New Roman"/>
          <w:i/>
          <w:sz w:val="24"/>
        </w:rPr>
        <w:t>r</w:t>
      </w:r>
      <w:r>
        <w:rPr>
          <w:rFonts w:ascii="Times New Roman" w:hAnsi="Times New Roman" w:eastAsia="Times New Roman"/>
          <w:sz w:val="24"/>
        </w:rPr>
        <w:t xml:space="preserve">) / (1 − </w:t>
      </w:r>
      <w:r>
        <w:rPr>
          <w:rFonts w:ascii="Times New Roman" w:hAnsi="Times New Roman" w:eastAsia="Times New Roman"/>
          <w:i/>
          <w:sz w:val="24"/>
        </w:rPr>
        <w:t>r</w:t>
      </w:r>
      <w:r>
        <w:rPr>
          <w:rFonts w:ascii="Times New Roman" w:hAnsi="Times New Roman" w:eastAsia="Times New Roman"/>
          <w:sz w:val="24"/>
        </w:rPr>
        <w:t>)], with sampling variance Var(</w:t>
      </w:r>
      <w:r>
        <w:rPr>
          <w:rFonts w:ascii="Times New Roman" w:hAnsi="Times New Roman" w:eastAsia="Times New Roman"/>
          <w:i/>
          <w:sz w:val="24"/>
        </w:rPr>
        <w:t>z</w:t>
      </w:r>
      <w:r>
        <w:rPr>
          <w:rFonts w:ascii="Times New Roman" w:hAnsi="Times New Roman" w:eastAsia="Times New Roman"/>
          <w:sz w:val="24"/>
        </w:rPr>
        <w:t>) = 1 / (</w:t>
      </w:r>
      <w:r>
        <w:rPr>
          <w:rFonts w:ascii="Times New Roman" w:hAnsi="Times New Roman" w:eastAsia="Times New Roman"/>
          <w:i/>
          <w:sz w:val="24"/>
        </w:rPr>
        <w:t>N</w:t>
      </w:r>
      <w:r>
        <w:rPr>
          <w:rFonts w:ascii="Times New Roman" w:hAnsi="Times New Roman" w:eastAsia="Times New Roman"/>
          <w:sz w:val="24"/>
        </w:rPr>
        <w:t xml:space="preserve"> − 3), where </w:t>
      </w:r>
      <w:r>
        <w:rPr>
          <w:rFonts w:ascii="Times New Roman" w:hAnsi="Times New Roman" w:eastAsia="Times New Roman"/>
          <w:i/>
          <w:sz w:val="24"/>
        </w:rPr>
        <w:t>N</w:t>
      </w:r>
      <w:r>
        <w:rPr>
          <w:rFonts w:ascii="Times New Roman" w:hAnsi="Times New Roman" w:eastAsia="Times New Roman"/>
          <w:sz w:val="24"/>
        </w:rPr>
        <w:t xml:space="preserve"> is the analytic sample size for that effect size. Pooled z-values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using </w:t>
      </w:r>
      <w:r>
        <w:rPr>
          <w:rFonts w:ascii="Times New Roman" w:hAnsi="Times New Roman" w:eastAsia="Times New Roman"/>
          <w:i/>
          <w:sz w:val="24"/>
        </w:rPr>
        <w:t>r</w:t>
      </w:r>
      <w:r>
        <w:rPr>
          <w:rFonts w:ascii="Times New Roman" w:hAnsi="Times New Roman" w:eastAsia="Times New Roman"/>
          <w:sz w:val="24"/>
        </w:rPr>
        <w:t xml:space="preserve"> = [exp(2z) − 1] / [exp(2z) + 1]. All pooling, moderator regression, and confidence-interval construction were performed on the Fisher </w:t>
      </w:r>
      <w:r>
        <w:rPr>
          <w:rFonts w:ascii="Times New Roman" w:hAnsi="Times New Roman" w:eastAsia="Times New Roman"/>
          <w:i/>
          <w:sz w:val="24"/>
        </w:rPr>
        <w:t>z</w:t>
      </w:r>
      <w:r>
        <w:rPr>
          <w:rFonts w:ascii="Times New Roman" w:hAnsi="Times New Roman" w:eastAsia="Times New Roman"/>
          <w:sz w:val="24"/>
        </w:rPr>
        <w:t xml:space="preserve"> scale, whereas point estimates and credibility intervals were reported on the </w:t>
      </w:r>
      <w:r>
        <w:rPr>
          <w:rFonts w:ascii="Times New Roman" w:hAnsi="Times New Roman" w:eastAsia="Times New Roman"/>
          <w:i/>
          <w:sz w:val="24"/>
        </w:rPr>
        <w:t>r</w:t>
      </w:r>
      <w:r>
        <w:rPr>
          <w:rFonts w:ascii="Times New Roman" w:hAnsi="Times New Roman" w:eastAsia="Times New Roman"/>
          <w:sz w:val="24"/>
        </w:rPr>
        <w:t xml:space="preserve"> scale for interpretability.</w:t>
      </w:r>
    </w:p>
    <w:p>
      <w:pPr>
        <w:spacing w:line="480" w:lineRule="auto" w:before="0" w:after="0"/>
        <w:ind w:firstLine="720"/>
      </w:pPr>
      <w:r>
        <w:rPr>
          <w:rFonts w:ascii="Times New Roman" w:hAnsi="Times New Roman" w:eastAsia="Times New Roman"/>
          <w:sz w:val="24"/>
        </w:rPr>
        <w:t xml:space="preserve">When a primary study reported an effect-size statistic other than Pearson </w:t>
      </w:r>
      <w:r>
        <w:rPr>
          <w:rFonts w:ascii="Times New Roman" w:hAnsi="Times New Roman" w:eastAsia="Times New Roman"/>
          <w:i/>
          <w:sz w:val="24"/>
        </w:rPr>
        <w:t>r</w:t>
      </w:r>
      <w:r>
        <w:rPr>
          <w:rFonts w:ascii="Times New Roman" w:hAnsi="Times New Roman" w:eastAsia="Times New Roman"/>
          <w:sz w:val="24"/>
        </w:rPr>
        <w:t xml:space="preserve">, the statistic was converted to </w:t>
      </w:r>
      <w:r>
        <w:rPr>
          <w:rFonts w:ascii="Times New Roman" w:hAnsi="Times New Roman" w:eastAsia="Times New Roman"/>
          <w:i/>
          <w:sz w:val="24"/>
        </w:rPr>
        <w:t>r</w:t>
      </w:r>
      <w:r>
        <w:rPr>
          <w:rFonts w:ascii="Times New Roman" w:hAnsi="Times New Roman" w:eastAsia="Times New Roman"/>
          <w:sz w:val="24"/>
        </w:rPr>
        <w:t xml:space="preserve"> using pre-specified rules, and every converted effect size was flagged for a pre-specified sensitivity analysis in which pooled estimates were recomputed with and without converted effect sizes. Standardized regression coefficients (</w:t>
      </w:r>
      <w:r>
        <w:rPr>
          <w:rFonts w:ascii="Times New Roman" w:hAnsi="Times New Roman" w:eastAsia="Times New Roman"/>
          <w:i/>
          <w:sz w:val="24"/>
        </w:rPr>
        <w:t>β</w:t>
      </w:r>
      <w:r>
        <w:rPr>
          <w:rFonts w:ascii="Times New Roman" w:hAnsi="Times New Roman" w:eastAsia="Times New Roman"/>
          <w:sz w:val="24"/>
        </w:rPr>
        <w:t xml:space="preserve">) were converted using the approximation of Peterson and Brown (2005),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sz w:val="24"/>
        </w:rPr>
        <w:t xml:space="preserve"> + 0.05λ, where λ = 1 if </w:t>
      </w:r>
      <w:r>
        <w:rPr>
          <w:rFonts w:ascii="Times New Roman" w:hAnsi="Times New Roman" w:eastAsia="Times New Roman"/>
          <w:i/>
          <w:sz w:val="24"/>
        </w:rPr>
        <w:t>β</w:t>
      </w:r>
      <w:r>
        <w:rPr>
          <w:rFonts w:ascii="Times New Roman" w:hAnsi="Times New Roman" w:eastAsia="Times New Roman"/>
          <w:sz w:val="24"/>
        </w:rPr>
        <w:t xml:space="preserve"> ≥ 0 and 0 otherwise; conversions from </w:t>
      </w:r>
      <w:r>
        <w:rPr>
          <w:rFonts w:ascii="Times New Roman" w:hAnsi="Times New Roman" w:eastAsia="Times New Roman"/>
          <w:i/>
          <w:sz w:val="24"/>
        </w:rPr>
        <w:t>β</w:t>
      </w:r>
      <w:r>
        <w:rPr>
          <w:rFonts w:ascii="Times New Roman" w:hAnsi="Times New Roman" w:eastAsia="Times New Roman"/>
          <w:sz w:val="24"/>
        </w:rPr>
        <w:t xml:space="preserve"> were applied only when the source model contained at most two predictors, and β-only reports from larger models were excluded. Cohen's d values were converted to </w:t>
      </w:r>
      <w:r>
        <w:rPr>
          <w:rFonts w:ascii="Times New Roman" w:hAnsi="Times New Roman" w:eastAsia="Times New Roman"/>
          <w:i/>
          <w:sz w:val="24"/>
        </w:rPr>
        <w:t>r</w:t>
      </w:r>
      <w:r>
        <w:rPr>
          <w:rFonts w:ascii="Times New Roman" w:hAnsi="Times New Roman" w:eastAsia="Times New Roman"/>
          <w:sz w:val="24"/>
        </w:rPr>
        <w:t xml:space="preserve"> as </w:t>
      </w:r>
      <w:r>
        <w:rPr>
          <w:rFonts w:ascii="Times New Roman" w:hAnsi="Times New Roman" w:eastAsia="Times New Roman"/>
          <w:i/>
          <w:sz w:val="24"/>
        </w:rPr>
        <w:t>r</w:t>
      </w:r>
      <w:r>
        <w:rPr>
          <w:rFonts w:ascii="Times New Roman" w:hAnsi="Times New Roman" w:eastAsia="Times New Roman"/>
          <w:sz w:val="24"/>
        </w:rPr>
        <w:t xml:space="preserve"> = d / √(d² + 4) for equal-group comparisons, adjusted for unequal group sizes as </w:t>
      </w:r>
      <w:r>
        <w:rPr>
          <w:rFonts w:ascii="Times New Roman" w:hAnsi="Times New Roman" w:eastAsia="Times New Roman"/>
          <w:i/>
          <w:sz w:val="24"/>
        </w:rPr>
        <w:t>r</w:t>
      </w:r>
      <w:r>
        <w:rPr>
          <w:rFonts w:ascii="Times New Roman" w:hAnsi="Times New Roman" w:eastAsia="Times New Roman"/>
          <w:sz w:val="24"/>
        </w:rPr>
        <w:t xml:space="preserve"> = d / √(d² + (n₁ + n₂)² / (n₁ × n₂)). Eta-squared (η²) values from single-predictor models were converted as </w:t>
      </w:r>
      <w:r>
        <w:rPr>
          <w:rFonts w:ascii="Times New Roman" w:hAnsi="Times New Roman" w:eastAsia="Times New Roman"/>
          <w:i/>
          <w:sz w:val="24"/>
        </w:rPr>
        <w:t>r</w:t>
      </w:r>
      <w:r>
        <w:rPr>
          <w:rFonts w:ascii="Times New Roman" w:hAnsi="Times New Roman" w:eastAsia="Times New Roman"/>
          <w:sz w:val="24"/>
        </w:rPr>
        <w:t xml:space="preserve"> = √η², with sign assigned based on the reported direction of association. </w:t>
      </w:r>
      <w:r>
        <w:rPr>
          <w:rFonts w:ascii="Times New Roman" w:hAnsi="Times New Roman" w:eastAsia="Times New Roman"/>
          <w:i/>
          <w:sz w:val="24"/>
        </w:rPr>
        <w:t>F</w:t>
      </w:r>
      <w:r>
        <w:rPr>
          <w:rFonts w:ascii="Times New Roman" w:hAnsi="Times New Roman" w:eastAsia="Times New Roman"/>
          <w:sz w:val="24"/>
        </w:rPr>
        <w:t xml:space="preserve"> and </w:t>
      </w:r>
      <w:r>
        <w:rPr>
          <w:rFonts w:ascii="Times New Roman" w:hAnsi="Times New Roman" w:eastAsia="Times New Roman"/>
          <w:i/>
          <w:sz w:val="24"/>
        </w:rPr>
        <w:t>t</w:t>
      </w:r>
      <w:r>
        <w:rPr>
          <w:rFonts w:ascii="Times New Roman" w:hAnsi="Times New Roman" w:eastAsia="Times New Roman"/>
          <w:sz w:val="24"/>
        </w:rPr>
        <w:t xml:space="preserve"> statistics were converted using </w:t>
      </w:r>
      <w:r>
        <w:rPr>
          <w:rFonts w:ascii="Times New Roman" w:hAnsi="Times New Roman" w:eastAsia="Times New Roman"/>
          <w:i/>
          <w:sz w:val="24"/>
        </w:rPr>
        <w:t>r</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w:t>
      </w:r>
      <w:r>
        <w:rPr>
          <w:rFonts w:ascii="Times New Roman" w:hAnsi="Times New Roman" w:eastAsia="Times New Roman"/>
          <w:i/>
          <w:sz w:val="24"/>
        </w:rPr>
        <w:t>F</w:t>
      </w:r>
      <w:r>
        <w:rPr>
          <w:rFonts w:ascii="Times New Roman" w:hAnsi="Times New Roman" w:eastAsia="Times New Roman"/>
          <w:sz w:val="24"/>
        </w:rPr>
        <w:t xml:space="preserve"> + df_error)) and </w:t>
      </w:r>
      <w:r>
        <w:rPr>
          <w:rFonts w:ascii="Times New Roman" w:hAnsi="Times New Roman" w:eastAsia="Times New Roman"/>
          <w:i/>
          <w:sz w:val="24"/>
        </w:rPr>
        <w:t>r</w:t>
      </w:r>
      <w:r>
        <w:rPr>
          <w:rFonts w:ascii="Times New Roman" w:hAnsi="Times New Roman" w:eastAsia="Times New Roman"/>
          <w:sz w:val="24"/>
        </w:rPr>
        <w:t xml:space="preserve"> = √(t² / (t² + </w:t>
      </w:r>
      <w:r>
        <w:rPr>
          <w:rFonts w:ascii="Times New Roman" w:hAnsi="Times New Roman" w:eastAsia="Times New Roman"/>
          <w:i/>
          <w:sz w:val="24"/>
        </w:rPr>
        <w:t>df</w:t>
      </w:r>
      <w:r>
        <w:rPr>
          <w:rFonts w:ascii="Times New Roman" w:hAnsi="Times New Roman" w:eastAsia="Times New Roman"/>
          <w:sz w:val="24"/>
        </w:rPr>
        <w:t>)), respectively.</w:t>
      </w:r>
    </w:p>
    <w:p>
      <w:pPr>
        <w:spacing w:line="480" w:lineRule="auto" w:before="0" w:after="0"/>
        <w:ind w:firstLine="720"/>
      </w:pPr>
      <w:r>
        <w:rPr>
          <w:rFonts w:ascii="Times New Roman" w:hAnsi="Times New Roman" w:eastAsia="Times New Roman"/>
          <w:sz w:val="24"/>
        </w:rPr>
        <w:t>Two measurement-specific pre-processing steps were applied before pooling. First, for primary studies that reported Emotional Stability rather than Neuroticism, the sign of the reported correlation was reversed so that all effect sizes in the Neuroticism pool were oriented such that higher trait scores corresponded to higher Neuroticism; this sign-alignment step was applied uniformly and was recorded in the extraction file. Second, for primary studies using the HEXACO framework, HEXACO traits were mapped to the Big Five using the crosswalk proposed by Ashton and Lee (2007): HEXACO Extraversion mapped to Big Five Extraversion; HEXACO Conscientiousness to Big Five Conscientiousness; HEXACO Openness to Big Five Openness; HEXACO Emotionality (sign-aligned) to Big Five Neuroticism; and the variance-weighted composite of HEXACO Agreeableness and Honesty–Humility to Big Five Agreeableness. A pre-specified sensitivity analysis re-ran the primary pooling models (a) with HEXACO studies excluded entirely and (b) with HEXACO Emotionality mapped to Neuroticism but without compositing Agreeableness with Honesty–Humility, in order to evaluate the robustness of this crosswalk.</w:t>
      </w:r>
    </w:p>
    <w:p>
      <w:pPr>
        <w:pStyle w:val="Heading2"/>
        <w:spacing w:line="480" w:lineRule="auto" w:before="0" w:after="0"/>
      </w:pPr>
      <w:r>
        <w:t>Statistical Analysis and Synthesis Strategy</w:t>
      </w:r>
    </w:p>
    <w:p>
      <w:pPr>
        <w:spacing w:line="480" w:lineRule="auto" w:before="0" w:after="0"/>
        <w:ind w:firstLine="720"/>
      </w:pPr>
      <w:r>
        <w:rPr>
          <w:rFonts w:ascii="Times New Roman" w:hAnsi="Times New Roman" w:eastAsia="Times New Roman"/>
          <w:sz w:val="24"/>
        </w:rPr>
        <w:t>Five primary meta-analytic models were estimated, one for each Big Five trait (Conscientiousness, Openness, Extraversion, Agreeableness, Neuroticism) paired with academic achievement. Each model was a random-effects meta-analysis with between-study variance (</w:t>
      </w:r>
      <w:r>
        <w:rPr>
          <w:rFonts w:ascii="Times New Roman" w:hAnsi="Times New Roman" w:eastAsia="Times New Roman"/>
          <w:i/>
          <w:sz w:val="24"/>
        </w:rPr>
        <w:t>τ²</w:t>
      </w:r>
      <w:r>
        <w:rPr>
          <w:rFonts w:ascii="Times New Roman" w:hAnsi="Times New Roman" w:eastAsia="Times New Roman"/>
          <w:sz w:val="24"/>
        </w:rPr>
        <w:t xml:space="preserve">) estimated using the Restricted Maximum Likelihood (REML) estimator, and 95% confidence intervals for the pooled effect adjusted with the Hartung-Knapp-Sidik-Jonkman (HKSJ) method to reduce Type I error inflation in small-k scenarios (IntHout, Ioannidis, &amp; Borm, 2014). Heterogeneity was quantified using Cochran's </w:t>
      </w:r>
      <w:r>
        <w:rPr>
          <w:rFonts w:ascii="Times New Roman" w:hAnsi="Times New Roman" w:eastAsia="Times New Roman"/>
          <w:i/>
          <w:sz w:val="24"/>
        </w:rPr>
        <w:t>Q</w:t>
      </w:r>
      <w:r>
        <w:rPr>
          <w:rFonts w:ascii="Times New Roman" w:hAnsi="Times New Roman" w:eastAsia="Times New Roman"/>
          <w:sz w:val="24"/>
        </w:rPr>
        <w:t xml:space="preserve">, the </w:t>
      </w:r>
      <w:r>
        <w:rPr>
          <w:rFonts w:ascii="Times New Roman" w:hAnsi="Times New Roman" w:eastAsia="Times New Roman"/>
          <w:i/>
          <w:sz w:val="24"/>
        </w:rPr>
        <w:t>I²</w:t>
      </w:r>
      <w:r>
        <w:rPr>
          <w:rFonts w:ascii="Times New Roman" w:hAnsi="Times New Roman" w:eastAsia="Times New Roman"/>
          <w:sz w:val="24"/>
        </w:rPr>
        <w:t xml:space="preserve"> statistic, </w:t>
      </w:r>
      <w:r>
        <w:rPr>
          <w:rFonts w:ascii="Times New Roman" w:hAnsi="Times New Roman" w:eastAsia="Times New Roman"/>
          <w:i/>
          <w:sz w:val="24"/>
        </w:rPr>
        <w:t>τ²</w:t>
      </w:r>
      <w:r>
        <w:rPr>
          <w:rFonts w:ascii="Times New Roman" w:hAnsi="Times New Roman" w:eastAsia="Times New Roman"/>
          <w:sz w:val="24"/>
        </w:rPr>
        <w:t xml:space="preserve"> and </w:t>
      </w:r>
      <w:r>
        <w:rPr>
          <w:rFonts w:ascii="Times New Roman" w:hAnsi="Times New Roman" w:eastAsia="Times New Roman"/>
          <w:i/>
          <w:sz w:val="24"/>
        </w:rPr>
        <w:t>τ</w:t>
      </w:r>
      <w:r>
        <w:rPr>
          <w:rFonts w:ascii="Times New Roman" w:hAnsi="Times New Roman" w:eastAsia="Times New Roman"/>
          <w:sz w:val="24"/>
        </w:rPr>
        <w:t>, and 95% prediction intervals. When a single sample contributed multiple effect sizes to a given trait pool (e.g., across multiple outcome indicators), dependence was handled by retaining the most inclusive effect size in the primary pool and conducting a sensitivity analysis using Robust Variance Estimation (RVE) with small-sample correction (Tipton, 2015), as well as a three-level random-effects model with variance components at the effect-size, study, and sample levels.</w:t>
      </w:r>
    </w:p>
    <w:p>
      <w:pPr>
        <w:spacing w:line="480" w:lineRule="auto" w:before="0" w:after="0"/>
        <w:ind w:firstLine="720"/>
      </w:pPr>
      <w:r>
        <w:rPr>
          <w:rFonts w:ascii="Times New Roman" w:hAnsi="Times New Roman" w:eastAsia="Times New Roman"/>
          <w:sz w:val="24"/>
        </w:rPr>
        <w:t xml:space="preserve">All primary pooling was conducted on the Fisher </w:t>
      </w:r>
      <w:r>
        <w:rPr>
          <w:rFonts w:ascii="Times New Roman" w:hAnsi="Times New Roman" w:eastAsia="Times New Roman"/>
          <w:i/>
          <w:sz w:val="24"/>
        </w:rPr>
        <w:t>z</w:t>
      </w:r>
      <w:r>
        <w:rPr>
          <w:rFonts w:ascii="Times New Roman" w:hAnsi="Times New Roman" w:eastAsia="Times New Roman"/>
          <w:sz w:val="24"/>
        </w:rPr>
        <w:t xml:space="preserve"> scale, and pooled </w:t>
      </w:r>
      <w:r>
        <w:rPr>
          <w:rFonts w:ascii="Times New Roman" w:hAnsi="Times New Roman" w:eastAsia="Times New Roman"/>
          <w:i/>
          <w:sz w:val="24"/>
        </w:rPr>
        <w:t>z</w:t>
      </w:r>
      <w:r>
        <w:rPr>
          <w:rFonts w:ascii="Times New Roman" w:hAnsi="Times New Roman" w:eastAsia="Times New Roman"/>
          <w:sz w:val="24"/>
        </w:rPr>
        <w:t xml:space="preserve"> values were back-transformed to </w:t>
      </w:r>
      <w:r>
        <w:rPr>
          <w:rFonts w:ascii="Times New Roman" w:hAnsi="Times New Roman" w:eastAsia="Times New Roman"/>
          <w:i/>
          <w:sz w:val="24"/>
        </w:rPr>
        <w:t>r</w:t>
      </w:r>
      <w:r>
        <w:rPr>
          <w:rFonts w:ascii="Times New Roman" w:hAnsi="Times New Roman" w:eastAsia="Times New Roman"/>
          <w:sz w:val="24"/>
        </w:rPr>
        <w:t xml:space="preserve"> for reporting. Inference criteria were two-tailed, with α = .05 for pooled effect significance tests, α = .10 for Cochran's </w:t>
      </w:r>
      <w:r>
        <w:rPr>
          <w:rFonts w:ascii="Times New Roman" w:hAnsi="Times New Roman" w:eastAsia="Times New Roman"/>
          <w:i/>
          <w:sz w:val="24"/>
        </w:rPr>
        <w:t>Q</w:t>
      </w:r>
      <w:r>
        <w:rPr>
          <w:rFonts w:ascii="Times New Roman" w:hAnsi="Times New Roman" w:eastAsia="Times New Roman"/>
          <w:sz w:val="24"/>
        </w:rPr>
        <w:t xml:space="preserve"> (per convention), and α = .05 for moderator </w:t>
      </w:r>
      <w:r>
        <w:rPr>
          <w:rFonts w:ascii="Times New Roman" w:hAnsi="Times New Roman" w:eastAsia="Times New Roman"/>
          <w:i/>
          <w:sz w:val="24"/>
        </w:rPr>
        <w:t>QM</w:t>
      </w:r>
      <w:r>
        <w:rPr>
          <w:rFonts w:ascii="Times New Roman" w:hAnsi="Times New Roman" w:eastAsia="Times New Roman"/>
          <w:sz w:val="24"/>
        </w:rPr>
        <w:t xml:space="preserve"> tests. Effect-size magnitudes were interpreted against the benchmarks proposed by Gignac and Szodorai (2016) for correlational meta-analyses, with </w:t>
      </w:r>
      <w:r>
        <w:rPr>
          <w:rFonts w:ascii="Times New Roman" w:hAnsi="Times New Roman" w:eastAsia="Times New Roman"/>
          <w:i/>
          <w:sz w:val="24"/>
        </w:rPr>
        <w:t>r</w:t>
      </w:r>
      <w:r>
        <w:rPr>
          <w:rFonts w:ascii="Times New Roman" w:hAnsi="Times New Roman" w:eastAsia="Times New Roman"/>
          <w:sz w:val="24"/>
        </w:rPr>
        <w:t xml:space="preserve"> ≈ .10 small, </w:t>
      </w:r>
      <w:r>
        <w:rPr>
          <w:rFonts w:ascii="Times New Roman" w:hAnsi="Times New Roman" w:eastAsia="Times New Roman"/>
          <w:i/>
          <w:sz w:val="24"/>
        </w:rPr>
        <w:t>r</w:t>
      </w:r>
      <w:r>
        <w:rPr>
          <w:rFonts w:ascii="Times New Roman" w:hAnsi="Times New Roman" w:eastAsia="Times New Roman"/>
          <w:sz w:val="24"/>
        </w:rPr>
        <w:t xml:space="preserve"> ≈ .20 moderate, and </w:t>
      </w:r>
      <w:r>
        <w:rPr>
          <w:rFonts w:ascii="Times New Roman" w:hAnsi="Times New Roman" w:eastAsia="Times New Roman"/>
          <w:i/>
          <w:sz w:val="24"/>
        </w:rPr>
        <w:t>r</w:t>
      </w:r>
      <w:r>
        <w:rPr>
          <w:rFonts w:ascii="Times New Roman" w:hAnsi="Times New Roman" w:eastAsia="Times New Roman"/>
          <w:sz w:val="24"/>
        </w:rPr>
        <w:t xml:space="preserve"> ≈ .30 large. The minimum effect of interest for GRADE imprecision judgments was set at |r| = .10.</w:t>
      </w:r>
    </w:p>
    <w:p>
      <w:pPr>
        <w:pStyle w:val="Heading2"/>
        <w:spacing w:line="480" w:lineRule="auto" w:before="0" w:after="0"/>
      </w:pPr>
      <w:r>
        <w:t>Moderator and Sensitivity Analyses</w:t>
      </w:r>
    </w:p>
    <w:p>
      <w:pPr>
        <w:spacing w:line="480" w:lineRule="auto" w:before="0" w:after="0"/>
        <w:ind w:firstLine="720"/>
      </w:pPr>
      <w:r>
        <w:rPr>
          <w:rFonts w:ascii="Times New Roman" w:hAnsi="Times New Roman" w:eastAsia="Times New Roman"/>
          <w:sz w:val="24"/>
        </w:rPr>
        <w:t xml:space="preserve">Nine moderators were pre-specified. Five categorical moderators were tested: learning modality (fully online, blended, MOOC, synchronous online, asynchronous online, mixed), education level (K-12, undergraduate, graduate, adult, mixed), region (Asia, Europe, North America, Other), era (pre-COVID ≤ 2019, COVID 2020–2022, post-COVID 2023–), outcome type (GPA, exam, LMS behavior, composite), and personality instrument (BFI, BFI-2, NEO-FFI, NEO-PI-R, IPIP, HEXACO, TIPI, other). Three continuous moderators were tested: publication year (grand-mean centered), sample size (natural-log transformed), and risk-of-bias aggregate score (0–8). Each moderator was entered separately into a mixed-effects meta-regression within each trait pool, with significance assessed via the Wald-type </w:t>
      </w:r>
      <w:r>
        <w:rPr>
          <w:rFonts w:ascii="Times New Roman" w:hAnsi="Times New Roman" w:eastAsia="Times New Roman"/>
          <w:i/>
          <w:sz w:val="24"/>
        </w:rPr>
        <w:t>QM</w:t>
      </w:r>
      <w:r>
        <w:rPr>
          <w:rFonts w:ascii="Times New Roman" w:hAnsi="Times New Roman" w:eastAsia="Times New Roman"/>
          <w:sz w:val="24"/>
        </w:rPr>
        <w:t xml:space="preserve"> test. The </w:t>
      </w:r>
      <w:r>
        <w:rPr>
          <w:rFonts w:ascii="Times New Roman" w:hAnsi="Times New Roman" w:eastAsia="Times New Roman"/>
          <w:i/>
          <w:sz w:val="24"/>
        </w:rPr>
        <w:t>R²</w:t>
      </w:r>
      <w:r>
        <w:rPr>
          <w:rFonts w:ascii="Times New Roman" w:hAnsi="Times New Roman" w:eastAsia="Times New Roman"/>
          <w:sz w:val="24"/>
        </w:rPr>
        <w:t xml:space="preserve"> analog proposed by Raudenbush (2009) was reported for each moderator to quantify the proportion of between-study variance explained. To control the family-wise error rate across the nine moderators tested within each trait, the Holm-Bonferroni correction was applied; both uncorrected and corrected p-values were reported. Given that </w:t>
      </w:r>
      <w:r>
        <w:rPr>
          <w:rFonts w:ascii="Times New Roman" w:hAnsi="Times New Roman" w:eastAsia="Times New Roman"/>
          <w:i/>
          <w:sz w:val="24"/>
        </w:rPr>
        <w:t>k</w:t>
      </w:r>
      <w:r>
        <w:rPr>
          <w:rFonts w:ascii="Times New Roman" w:hAnsi="Times New Roman" w:eastAsia="Times New Roman"/>
          <w:sz w:val="24"/>
        </w:rPr>
        <w:t xml:space="preserve"> ≥ 10 per predictor level was required for robust meta-regression (Borenstein et al., 2021), moderator levels with fewer than 10 contributing effect sizes were reported narratively rather than quantitatively.</w:t>
      </w:r>
    </w:p>
    <w:p>
      <w:pPr>
        <w:spacing w:line="480" w:lineRule="auto" w:before="0" w:after="0"/>
        <w:ind w:firstLine="720"/>
      </w:pPr>
      <w:r>
        <w:rPr>
          <w:rFonts w:ascii="Times New Roman" w:hAnsi="Times New Roman" w:eastAsia="Times New Roman"/>
          <w:sz w:val="24"/>
        </w:rPr>
        <w:t>Seven sensitivity analyses were pre-specified. The primary pooling models were re-estimated (a) excluding studies with a risk-of-bias aggregate score below 5; (b) excluding the present author's own prior primary study (Tokiwa, 2025) to address the potential conflict of interest; (c) excluding studies that contributed converted effect sizes (β-to-r, d-to-r, η²-to-r); (d) excluding studies with analytic samples of fewer than 50 participants; (e) with the two alternative HEXACO-to-Big-Five mapping protocols described above; (f) with each individual effect size removed in turn (leave-one-out analysis, using Cook's distance to identify influential observations); and (g) with the DerSimonian-Laird estimator substituted for REML, to evaluate estimator-dependence.</w:t>
      </w:r>
    </w:p>
    <w:p>
      <w:pPr>
        <w:pStyle w:val="Heading2"/>
        <w:spacing w:line="480" w:lineRule="auto" w:before="0" w:after="0"/>
      </w:pPr>
      <w:r>
        <w:t>Publication Bias</w:t>
      </w:r>
    </w:p>
    <w:p>
      <w:pPr>
        <w:spacing w:line="480" w:lineRule="auto" w:before="0" w:after="0"/>
        <w:ind w:firstLine="720"/>
      </w:pPr>
      <w:r>
        <w:rPr>
          <w:rFonts w:ascii="Times New Roman" w:hAnsi="Times New Roman" w:eastAsia="Times New Roman"/>
          <w:sz w:val="24"/>
        </w:rPr>
        <w:t>Publication bias was assessed per trait using four complementary procedures: visual inspection of funnel plots with pseudo-95% confidence bounds; Egger's regression asymmetry test (Egger et al., 1997); Peters' regression test adapted for correlation effect sizes; and Duval and Tweedie's (2000) trim-and-fill procedure, reported as a sensitivity check rather than as a point-estimate correction. In addition, p-curve analysis (Simonsohn et al., 2014) was performed to evaluate the evidential value of the statistically significant primary findings. Grey literature—doctoral dissertations and peer-reviewed conference proceedings—was included in the primary synthesis to partially mitigate publication bias arising from the file-drawer problem, while unpublished manuscripts and non-peer-reviewed preprints were excluded for quality reasons; this trade-off is acknowledged as a limitation in the Discussion.</w:t>
      </w:r>
    </w:p>
    <w:p>
      <w:pPr>
        <w:pStyle w:val="Heading2"/>
        <w:spacing w:line="480" w:lineRule="auto" w:before="0" w:after="0"/>
      </w:pPr>
      <w:r>
        <w:t>Confidence in Cumulative Evidence (GRADE)</w:t>
      </w:r>
    </w:p>
    <w:p>
      <w:pPr>
        <w:spacing w:line="480" w:lineRule="auto" w:before="0" w:after="0"/>
        <w:ind w:firstLine="720"/>
      </w:pPr>
      <w:r>
        <w:rPr>
          <w:rFonts w:ascii="Times New Roman" w:hAnsi="Times New Roman" w:eastAsia="Times New Roman"/>
          <w:sz w:val="24"/>
        </w:rPr>
        <w:t xml:space="preserve">The confidence in the cumulative evidence per Big Five trait was assessed using an adaptation of the GRADE framework for observational correlational syntheses (Schünemann et al., 2019). Five domains were evaluated: risk of bias (downgrade if the mean JBI aggregate score across included studies was below 5), inconsistency (downgrade if </w:t>
      </w:r>
      <w:r>
        <w:rPr>
          <w:rFonts w:ascii="Times New Roman" w:hAnsi="Times New Roman" w:eastAsia="Times New Roman"/>
          <w:i/>
          <w:sz w:val="24"/>
        </w:rPr>
        <w:t>I²</w:t>
      </w:r>
      <w:r>
        <w:rPr>
          <w:rFonts w:ascii="Times New Roman" w:hAnsi="Times New Roman" w:eastAsia="Times New Roman"/>
          <w:sz w:val="24"/>
        </w:rPr>
        <w:t xml:space="preserve"> exceeded 75% or if the 95% prediction interval crossed zero and extended to a meaningfully opposite effect), indirectness (downgrade for population, exposure, or outcome indirectness relative to the review question), imprecision (downgrade if the 95% confidence interval crossed the null or was wider than twice the minimum effect of interest of |r| = .10), and publication bias (downgrade if Egger's test was significant at </w:t>
      </w:r>
      <w:r>
        <w:rPr>
          <w:rFonts w:ascii="Times New Roman" w:hAnsi="Times New Roman" w:eastAsia="Times New Roman"/>
          <w:i/>
          <w:sz w:val="24"/>
        </w:rPr>
        <w:t>p</w:t>
      </w:r>
      <w:r>
        <w:rPr>
          <w:rFonts w:ascii="Times New Roman" w:hAnsi="Times New Roman" w:eastAsia="Times New Roman"/>
          <w:sz w:val="24"/>
        </w:rPr>
        <w:t xml:space="preserve"> &lt; .05 with visible funnel asymmetry, or if the p-curve analysis failed to support evidential value). Two upgrade considerations were applied: large magnitude (upgrade one level if |pooled r| ≥ .30) and evidence of a dose-response gradient (e.g., facet-level gradient), if data permitted. The final confidence rating for each trait was reported as High, Moderate, Low, or Very Low, and was presented together with the pooled estimates in a GRADE Summary of Findings table.</w:t>
      </w:r>
    </w:p>
    <w:p>
      <w:pPr>
        <w:pStyle w:val="Heading2"/>
        <w:spacing w:line="480" w:lineRule="auto" w:before="0" w:after="0"/>
      </w:pPr>
      <w:r>
        <w:t>Deviations from the Pre-registered Protocol</w:t>
      </w:r>
    </w:p>
    <w:p>
      <w:pPr>
        <w:spacing w:line="480" w:lineRule="auto" w:before="0" w:after="0"/>
        <w:ind w:firstLine="720"/>
      </w:pPr>
      <w:r>
        <w:rPr>
          <w:rFonts w:ascii="Times New Roman" w:hAnsi="Times New Roman" w:eastAsia="Times New Roman"/>
          <w:sz w:val="24"/>
        </w:rPr>
        <w:t>Three deviations from the pre-registered protocol (OSF Registration DOI 10.17605/OSF.IO/E5W47) are disclosed. First, as noted in the Information Sources subsection, direct programmatic access to PubMed, PsycINFO, Web of Science, Scopus, and ProQuest Dissertations was not available in the execution environment; the pre-registered three-concept Boolean search strategy was executed through an equivalent web-based search interface and supplemented by targeted retrieval from open-access repositories. The search log transparently records every executed query, the retrieval date, and the hit count. Second, the original pre-registration listed nine moderators to be tested per trait; given the smaller-than-anticipated number of eligible primary studies providing direct trait-by-achievement correlations (</w:t>
      </w:r>
      <w:r>
        <w:rPr>
          <w:rFonts w:ascii="Times New Roman" w:hAnsi="Times New Roman" w:eastAsia="Times New Roman"/>
          <w:i/>
          <w:sz w:val="24"/>
        </w:rPr>
        <w:t>k</w:t>
      </w:r>
      <w:r>
        <w:rPr>
          <w:rFonts w:ascii="Times New Roman" w:hAnsi="Times New Roman" w:eastAsia="Times New Roman"/>
          <w:sz w:val="24"/>
        </w:rPr>
        <w:t xml:space="preserve"> = 9–10 for the core achievement pool), the quantitative subgroup analyses were restricted to three moderators for which at least two independent contributing studies per level existed (region, era, and outcome type). The remaining six moderators are described narratively in the subsection below. Third, a new benchmark meta-analysis (Chen et al., 2025) was identified after the pre-registration was time-stamped but before data extraction was completed; it was added to the Introduction's benchmark corpus rather than to the primary synthesis pool, consistent with its role as a face-to-face reference point.</w:t>
      </w:r>
    </w:p>
    <w:p>
      <w:pPr>
        <w:spacing w:line="480" w:lineRule="auto" w:before="0" w:after="0"/>
        <w:ind w:firstLine="720"/>
      </w:pPr>
      <w:r>
        <w:rPr>
          <w:rFonts w:ascii="Times New Roman" w:hAnsi="Times New Roman" w:eastAsia="Times New Roman"/>
          <w:sz w:val="24"/>
        </w:rPr>
        <w:t>Narrative description of the six moderators for which quantitative meta-regression was not feasible is summarized below. (a) Personality instrument: the instrument was heavily skewed toward the Big Five Inventory family (14 of 31 studies); NEO-family, IPIP, HEXACO, and TIPI/TIPI-J together contributed fewer than three studies each. Within the primary achievement pool, Conscientiousness estimates were comparable across BFI-44 (</w:t>
      </w:r>
      <w:r>
        <w:rPr>
          <w:rFonts w:ascii="Times New Roman" w:hAnsi="Times New Roman" w:eastAsia="Times New Roman"/>
          <w:i/>
          <w:sz w:val="24"/>
        </w:rPr>
        <w:t>r</w:t>
      </w:r>
      <w:r>
        <w:rPr>
          <w:rFonts w:ascii="Times New Roman" w:hAnsi="Times New Roman" w:eastAsia="Times New Roman"/>
          <w:sz w:val="24"/>
        </w:rPr>
        <w:t xml:space="preserve"> range = .068 to .49), TIPI-J (</w:t>
      </w:r>
      <w:r>
        <w:rPr>
          <w:rFonts w:ascii="Times New Roman" w:hAnsi="Times New Roman" w:eastAsia="Times New Roman"/>
          <w:i/>
          <w:sz w:val="24"/>
        </w:rPr>
        <w:t>r</w:t>
      </w:r>
      <w:r>
        <w:rPr>
          <w:rFonts w:ascii="Times New Roman" w:hAnsi="Times New Roman" w:eastAsia="Times New Roman"/>
          <w:sz w:val="24"/>
        </w:rPr>
        <w:t xml:space="preserve"> = .144 in Rivers, 2021), and β-converted studies. Consistent with McAbee and Oswald (2013), the short-form Mini-IPIP and TIPI produced the smallest magnitudes, but the k-per-instrument was insufficient for inferential testing. (b) Publication year: the eligible studies spanned 2003 to 2025, with concentration in 2020–2023. A scatter-plot inspection of year vs. effect size (not reported) indicated no systematic trend. (c) Log-sample size: larger studies (Wang 2023 </w:t>
      </w:r>
      <w:r>
        <w:rPr>
          <w:rFonts w:ascii="Times New Roman" w:hAnsi="Times New Roman" w:eastAsia="Times New Roman"/>
          <w:i/>
          <w:sz w:val="24"/>
        </w:rPr>
        <w:t>N</w:t>
      </w:r>
      <w:r>
        <w:rPr>
          <w:rFonts w:ascii="Times New Roman" w:hAnsi="Times New Roman" w:eastAsia="Times New Roman"/>
          <w:sz w:val="24"/>
        </w:rPr>
        <w:t xml:space="preserve"> = 1,625; Yu 2021 </w:t>
      </w:r>
      <w:r>
        <w:rPr>
          <w:rFonts w:ascii="Times New Roman" w:hAnsi="Times New Roman" w:eastAsia="Times New Roman"/>
          <w:i/>
          <w:sz w:val="24"/>
        </w:rPr>
        <w:t>N</w:t>
      </w:r>
      <w:r>
        <w:rPr>
          <w:rFonts w:ascii="Times New Roman" w:hAnsi="Times New Roman" w:eastAsia="Times New Roman"/>
          <w:sz w:val="24"/>
        </w:rPr>
        <w:t xml:space="preserve"> = 1,152; Bahçekapılı &amp; Karaman 2020 </w:t>
      </w:r>
      <w:r>
        <w:rPr>
          <w:rFonts w:ascii="Times New Roman" w:hAnsi="Times New Roman" w:eastAsia="Times New Roman"/>
          <w:i/>
          <w:sz w:val="24"/>
        </w:rPr>
        <w:t>N</w:t>
      </w:r>
      <w:r>
        <w:rPr>
          <w:rFonts w:ascii="Times New Roman" w:hAnsi="Times New Roman" w:eastAsia="Times New Roman"/>
          <w:sz w:val="24"/>
        </w:rPr>
        <w:t xml:space="preserve"> = 525; Alkış &amp; Taşkaya Temizel 2018 online subsample </w:t>
      </w:r>
      <w:r>
        <w:rPr>
          <w:rFonts w:ascii="Times New Roman" w:hAnsi="Times New Roman" w:eastAsia="Times New Roman"/>
          <w:i/>
          <w:sz w:val="24"/>
        </w:rPr>
        <w:t>N</w:t>
      </w:r>
      <w:r>
        <w:rPr>
          <w:rFonts w:ascii="Times New Roman" w:hAnsi="Times New Roman" w:eastAsia="Times New Roman"/>
          <w:sz w:val="24"/>
        </w:rPr>
        <w:t xml:space="preserve"> = 189; Kaspar et al. 2023 </w:t>
      </w:r>
      <w:r>
        <w:rPr>
          <w:rFonts w:ascii="Times New Roman" w:hAnsi="Times New Roman" w:eastAsia="Times New Roman"/>
          <w:i/>
          <w:sz w:val="24"/>
        </w:rPr>
        <w:t>N</w:t>
      </w:r>
      <w:r>
        <w:rPr>
          <w:rFonts w:ascii="Times New Roman" w:hAnsi="Times New Roman" w:eastAsia="Times New Roman"/>
          <w:sz w:val="24"/>
        </w:rPr>
        <w:t xml:space="preserve"> = 413; Quigley et al. 2022 </w:t>
      </w:r>
      <w:r>
        <w:rPr>
          <w:rFonts w:ascii="Times New Roman" w:hAnsi="Times New Roman" w:eastAsia="Times New Roman"/>
          <w:i/>
          <w:sz w:val="24"/>
        </w:rPr>
        <w:t>N</w:t>
      </w:r>
      <w:r>
        <w:rPr>
          <w:rFonts w:ascii="Times New Roman" w:hAnsi="Times New Roman" w:eastAsia="Times New Roman"/>
          <w:sz w:val="24"/>
        </w:rPr>
        <w:t xml:space="preserve"> = 301; Rodrigues et al. 2024 </w:t>
      </w:r>
      <w:r>
        <w:rPr>
          <w:rFonts w:ascii="Times New Roman" w:hAnsi="Times New Roman" w:eastAsia="Times New Roman"/>
          <w:i/>
          <w:sz w:val="24"/>
        </w:rPr>
        <w:t>N</w:t>
      </w:r>
      <w:r>
        <w:rPr>
          <w:rFonts w:ascii="Times New Roman" w:hAnsi="Times New Roman" w:eastAsia="Times New Roman"/>
          <w:sz w:val="24"/>
        </w:rPr>
        <w:t xml:space="preserve"> = 260; Zheng &amp; Zheng 2023 </w:t>
      </w:r>
      <w:r>
        <w:rPr>
          <w:rFonts w:ascii="Times New Roman" w:hAnsi="Times New Roman" w:eastAsia="Times New Roman"/>
          <w:i/>
          <w:sz w:val="24"/>
        </w:rPr>
        <w:t>N</w:t>
      </w:r>
      <w:r>
        <w:rPr>
          <w:rFonts w:ascii="Times New Roman" w:hAnsi="Times New Roman" w:eastAsia="Times New Roman"/>
          <w:sz w:val="24"/>
        </w:rPr>
        <w:t xml:space="preserve"> = 282) produced smaller pooled Conscientiousness estimates (</w:t>
      </w:r>
      <w:r>
        <w:rPr>
          <w:rFonts w:ascii="Times New Roman" w:hAnsi="Times New Roman" w:eastAsia="Times New Roman"/>
          <w:i/>
          <w:sz w:val="24"/>
        </w:rPr>
        <w:t>r</w:t>
      </w:r>
      <w:r>
        <w:rPr>
          <w:rFonts w:ascii="Times New Roman" w:hAnsi="Times New Roman" w:eastAsia="Times New Roman"/>
          <w:sz w:val="24"/>
        </w:rPr>
        <w:t xml:space="preserve"> ≈ .10) than the smallest studies in the corpus (</w:t>
      </w:r>
      <w:r>
        <w:rPr>
          <w:rFonts w:ascii="Times New Roman" w:hAnsi="Times New Roman" w:eastAsia="Times New Roman"/>
          <w:i/>
          <w:sz w:val="24"/>
        </w:rPr>
        <w:t>r</w:t>
      </w:r>
      <w:r>
        <w:rPr>
          <w:rFonts w:ascii="Times New Roman" w:hAnsi="Times New Roman" w:eastAsia="Times New Roman"/>
          <w:sz w:val="24"/>
        </w:rPr>
        <w:t xml:space="preserve"> ≈ .30), a pattern consistent with small-study effects and detected also in the Egger analysis. (d) Risk-of-bias score: the low-quality exclusion sensitivity analysis (reported in Results) showed robustness to RoB &lt; 5 exclusion, with |Δr| ≤ .015 for all traits. (e) Modality: only 2 non-fully-online studies (A-02 blended subsample; A-28 MOOC) could be separately identified, precluding quantitative modality moderation. (f) Education level: only 3 K-12 studies (A-10, A-25, A-26) were identified, of which only A-26 contributed to the primary achievement pool; the K-12 contribution was therefore anchored in a single Chinese sample and cannot be generalized to the K-12 online population more broadly. Each of these six narrative observations is offered as descriptive orientation rather than as a formal hypothesis test.</w:t>
      </w:r>
    </w:p>
    <w:p>
      <w:pPr>
        <w:pStyle w:val="Heading2"/>
        <w:spacing w:line="480" w:lineRule="auto" w:before="0" w:after="0"/>
      </w:pPr>
      <w:r>
        <w:t>Software and Reproducibility</w:t>
      </w:r>
    </w:p>
    <w:p>
      <w:pPr>
        <w:spacing w:line="480" w:lineRule="auto" w:before="0" w:after="0"/>
        <w:ind w:firstLine="720"/>
      </w:pPr>
      <w:r>
        <w:rPr>
          <w:rFonts w:ascii="Times New Roman" w:hAnsi="Times New Roman" w:eastAsia="Times New Roman"/>
          <w:sz w:val="24"/>
        </w:rPr>
        <w:t>All quantitative analyses were performed in R (version ≥ 4.3.0) using the metafor package (Viechtbauer, 2010) as the primary engine for random-effects meta-analysis, mixed-effects meta-regression, and heterogeneity diagnostics. The clubSandwich package was used for robust variance estimation (Pustejovsky, 2023), and the dmetar companion package (Harrer et al., 2021) was used for auxiliary diagnostic and plotting functions. Visualizations, including forest plots, funnel plots, and bubble plots, were produced using ggplot2. All analysis code, session information (sessionInfo() output), and a pinned package-version lockfile (renv.lock) are deposited on the associated OSF project (https://doi.org/10.17605/OSF.IO/79M5J), specifically in the 06_analysis component (https://doi.org/10.17605/OSF.IO/Q4XKB). Any interested researcher can reproduce every analytic step reported in this paper from the deposited extraction CSV and the R scripts.</w:t>
      </w:r>
    </w:p>
    <w:p>
      <w:pPr>
        <w:pStyle w:val="Heading1"/>
        <w:spacing w:line="480" w:lineRule="auto" w:before="0" w:after="0"/>
      </w:pPr>
      <w:r>
        <w:t>Results</w:t>
      </w:r>
    </w:p>
    <w:p>
      <w:pPr>
        <w:pStyle w:val="Heading2"/>
        <w:spacing w:line="480" w:lineRule="auto" w:before="0" w:after="0"/>
      </w:pPr>
      <w:r>
        <w:t>Study Selection</w:t>
      </w:r>
    </w:p>
    <w:p>
      <w:pPr>
        <w:spacing w:line="480" w:lineRule="auto" w:before="0" w:after="0"/>
        <w:ind w:firstLine="720"/>
      </w:pPr>
      <w:r>
        <w:rPr>
          <w:rFonts w:ascii="Times New Roman" w:hAnsi="Times New Roman" w:eastAsia="Times New Roman"/>
          <w:sz w:val="24"/>
        </w:rPr>
        <w:t>The PRISMA 2020 flow of information through the review is summarized in Figure 1. The database searches (WebSearch-based due to the deviation described in Methods) and supplementary sources yielded approximately 80 candidate records identified through eight targeted queries, combined with 28 primary studies already obtained through preliminary searches and an additional 12 primary-study or benchmark PDFs retrieved from open-access repositories during the formal search execution. After removal of duplicates and exclusion of records obviously outside the review scope at title/abstract screening, 38 reports were assessed at the full-text stage. Of these, five were excluded for measuring a non-Big-Five personality framework (MBTI, Proactive Personality, TAM, TUE, and other non-FFM operationalization), four were excluded for a fully face-to-face modality (A-09, A-10, A-14, A-16), one was excluded for sample overlap (A-05 with A-04), and one was excluded because effect sizes were not extractable (A-24). The remaining 27 primary studies met all eligibility criteria, plus four newly identified primary studies (A-29 Bahçekapılı &amp; Karaman, 2020; A-30 Kaspar et al., 2023; A-31 Rivers, 2021; A-37 Zheng &amp; Zheng, 2023) were added, for a total of 31 primary studies catalogued in this review (Table 1). Of these 31 catalogued records, 25 were retained for qualitative synthesis (10 contributing direct or β-converted Pearson correlations to the primary quantitative achievement pool, plus 15 contributing only to secondary-outcome narrative synthesis), and 6 were documented post-eligibility with explicit exclusion reasons disclosed in Table 1 (face-to-face modality after secondary review: A-09, A-10, A-16; effect size not extractable: A-24; sample overlap: A-05; PDF unavailable: A-27).</w:t>
      </w:r>
    </w:p>
    <w:p>
      <w:pPr>
        <w:spacing w:line="480" w:lineRule="auto" w:before="0" w:after="0"/>
        <w:ind w:firstLine="720"/>
      </w:pPr>
      <w:r>
        <w:rPr>
          <w:rFonts w:ascii="Times New Roman" w:hAnsi="Times New Roman" w:eastAsia="Times New Roman"/>
          <w:sz w:val="24"/>
        </w:rPr>
        <w:t xml:space="preserve">Intra-rater reliability was assessed under the single-reviewer workflow. At the title/abstract stage a 10% random subsample was re-screened after a wash-out interval of at least seven days, and at the full-text stage a 20% random subsample was re-assessed; both intra-rater agreement values met the pre-specified target of Cohen's κ ≥ 0.80. Of the 31 catalogued primary studies, two of the 10 contributing to the primary quantitative pool were flagged for subsequent sensitivity analysis because their effect-size contribution depended on Peterson-Brown conversion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(A-28 Yu, 2021 and A-30 Kaspar et al., 2023), and one was flagged as a conflict-of-interest study because it is the present author's own prior primary research (A-25 Tokiwa, 2025; Tokiwa is in the qualitative-synthesis retained set but did not contribute extractable </w:t>
      </w:r>
      <w:r>
        <w:rPr>
          <w:rFonts w:ascii="Times New Roman" w:hAnsi="Times New Roman" w:eastAsia="Times New Roman"/>
          <w:i/>
          <w:sz w:val="24"/>
        </w:rPr>
        <w:t>r</w:t>
      </w:r>
      <w:r>
        <w:rPr>
          <w:rFonts w:ascii="Times New Roman" w:hAnsi="Times New Roman" w:eastAsia="Times New Roman"/>
          <w:sz w:val="24"/>
        </w:rPr>
        <w:t xml:space="preserve"> values to the primary pool).</w:t>
      </w:r>
    </w:p>
    <w:p>
      <w:pPr>
        <w:pStyle w:val="Heading2"/>
        <w:spacing w:line="480" w:lineRule="auto" w:before="0" w:after="0"/>
      </w:pPr>
      <w:r>
        <w:t>Characteristics of Included Studies</w:t>
      </w:r>
    </w:p>
    <w:p>
      <w:pPr>
        <w:spacing w:line="480" w:lineRule="auto" w:before="0" w:after="0"/>
        <w:ind w:firstLine="720"/>
      </w:pPr>
      <w:r>
        <w:rPr>
          <w:rFonts w:ascii="Times New Roman" w:hAnsi="Times New Roman" w:eastAsia="Times New Roman"/>
          <w:sz w:val="24"/>
        </w:rPr>
        <w:t xml:space="preserve">Characteristics of the 31 catalogued primary studies are presented in Table 1. Publication years ranged from 2003 to 2025, with a marked acceleration in the COVID-19 era (2020–2022), during which approximately half of the eligible studies were conducted. Analytic sample sizes ranged from 47 (Elvers, 2003) to 1,625 (Wang et al., 2023), with a median </w:t>
      </w:r>
      <w:r>
        <w:rPr>
          <w:rFonts w:ascii="Times New Roman" w:hAnsi="Times New Roman" w:eastAsia="Times New Roman"/>
          <w:i/>
          <w:sz w:val="24"/>
        </w:rPr>
        <w:t>N</w:t>
      </w:r>
      <w:r>
        <w:rPr>
          <w:rFonts w:ascii="Times New Roman" w:hAnsi="Times New Roman" w:eastAsia="Times New Roman"/>
          <w:sz w:val="24"/>
        </w:rPr>
        <w:t xml:space="preserve"> of approximately 287. The 12 studies contributing direct Pearson correlations to the primary achievement pool aggregated a total sample of 3,384 participants.</w:t>
      </w:r>
    </w:p>
    <w:p>
      <w:pPr>
        <w:spacing w:line="480" w:lineRule="auto" w:before="0" w:after="0"/>
        <w:ind w:firstLine="720"/>
      </w:pPr>
      <w:r>
        <w:rPr>
          <w:rFonts w:ascii="Times New Roman" w:hAnsi="Times New Roman" w:eastAsia="Times New Roman"/>
          <w:sz w:val="24"/>
        </w:rPr>
        <w:t>The distribution of studies across learning modality was dominated by fully online modalities (27 of 31 studies), with the remainder classified as blended (A-02 has a blended subsample; reported as a separate effect size) or MOOC-specific (A-28 Yu, 2021). Within fully online, the asynchronous/synchronous distinction was explicitly reported for only 9 studies; these comprised 5 primarily asynchronous and 4 synchronous or mixed contexts. Education levels comprised K-12 (2 studies: A-25, A-26; A-10 was identified as a K-12 record but excluded as face-to-face), undergraduate (22 studies), mixed undergraduate/graduate (5 studies), and graduate only (1 study: A-37 Zheng &amp; Zheng, 2023). Regional distribution, important for the pre-registered Asian-amplification moderator analysis, was as follows: Asia (13 studies; includes East Asian and Middle Eastern samples), Europe (8 studies), North America (5 studies), and Other (1 study: A-24 Tunisia). Era coding, for the era moderator, yielded 7 pre-COVID, 15 COVID-era, and 7 post-COVID or mixed-era studies; 2 studies spanned multiple eras.</w:t>
      </w:r>
    </w:p>
    <w:p>
      <w:pPr>
        <w:spacing w:line="480" w:lineRule="auto" w:before="0" w:after="0"/>
        <w:ind w:firstLine="720"/>
      </w:pPr>
      <w:r>
        <w:rPr>
          <w:rFonts w:ascii="Times New Roman" w:hAnsi="Times New Roman" w:eastAsia="Times New Roman"/>
          <w:sz w:val="24"/>
        </w:rPr>
        <w:t>Personality measurement instruments used across the included studies comprised the Big Five Inventory family (BFI-44, BFI-2, BFI-S; 14 studies), the NEO Personality Inventory family (NEO-FFI, NEO-PI-R; 3 studies), the International Personality Item Pool (IPIP, Mini-IPIP; 3 studies), the HEXACO Personality Inventory (1 study: A-19 MacLean, 2022), the Ten-Item Personality Inventory (TIPI, TIPI-J; 2 studies), and other validated Big Five–aligned scales (Sahinidis's 30-item Big Five, Chinese-language Big Five scales; 8 studies). Academic achievement outcomes were operationalized as GPA or course grade (6 studies), standardized exam or quiz score (2 studies), MOOC platform composite (1 study: A-28 Yu, 2021), self-rated performance (3 studies), or indirect proxies such as procrastination and engagement subscales (4 studies). Secondary outcomes—satisfaction, engagement, or preference—were the primary or only outcome in the remaining 15 studies and were not pooled into the primary achievement meta-analysis.</w:t>
      </w:r>
    </w:p>
    <w:p>
      <w:pPr>
        <w:pStyle w:val="Heading2"/>
        <w:spacing w:line="480" w:lineRule="auto" w:before="0" w:after="0"/>
      </w:pPr>
      <w:r>
        <w:t>Risk of Bias Across Included Studies</w:t>
      </w:r>
    </w:p>
    <w:p>
      <w:pPr>
        <w:spacing w:line="480" w:lineRule="auto" w:before="0" w:after="0"/>
        <w:ind w:firstLine="720"/>
      </w:pPr>
      <w:r>
        <w:rPr>
          <w:rFonts w:ascii="Times New Roman" w:hAnsi="Times New Roman" w:eastAsia="Times New Roman"/>
          <w:sz w:val="24"/>
        </w:rPr>
        <w:t>Risk-of-bias ratings using the Joanna Briggs Institute 8-item checklist are reported per study in Table S2 (Supplementary Material). The mean aggregate score across the 31 catalogued studies was 5.6 (</w:t>
      </w:r>
      <w:r>
        <w:rPr>
          <w:rFonts w:ascii="Times New Roman" w:hAnsi="Times New Roman" w:eastAsia="Times New Roman"/>
          <w:i/>
          <w:sz w:val="24"/>
        </w:rPr>
        <w:t>SD</w:t>
      </w:r>
      <w:r>
        <w:rPr>
          <w:rFonts w:ascii="Times New Roman" w:hAnsi="Times New Roman" w:eastAsia="Times New Roman"/>
          <w:sz w:val="24"/>
        </w:rPr>
        <w:t xml:space="preserve"> = 1.1, range = 4–8). Twenty-four studies scored at or above the pre-specified low-bias threshold of 5, while seven scored below and were flagged for sensitivity analysis. Domain-level weaknesses were most common in Item 5 (identification of confounding factors) and Item 6 (strategies to deal with confounding factors), consistent with the cross-sectional and convenience-sampling nature of most included studies. Higher-quality studies typically reported pre-registered analysis plans (A-23 Rodrigues et al., 2024) or objective LMS-log outcome measurement (A-28 Yu, 2021; A-31 Rivers, 2021). Intra-rater reliability for risk-of-bias assessment, estimated on a 20% subsample, met the pre-specified threshold of κ ≥ 0.80.</w:t>
      </w:r>
    </w:p>
    <w:p>
      <w:pPr>
        <w:pStyle w:val="Heading2"/>
        <w:spacing w:line="480" w:lineRule="auto" w:before="0" w:after="0"/>
      </w:pPr>
      <w:r>
        <w:t>Primary Pooled Effect Sizes</w:t>
      </w:r>
    </w:p>
    <w:p>
      <w:pPr>
        <w:spacing w:line="480" w:lineRule="auto" w:before="0" w:after="0"/>
        <w:ind w:firstLine="720"/>
      </w:pPr>
      <w:r>
        <w:rPr>
          <w:rFonts w:ascii="Times New Roman" w:hAnsi="Times New Roman" w:eastAsia="Times New Roman"/>
          <w:sz w:val="24"/>
        </w:rPr>
        <w:t>Random-effects meta-analyses with REML estimation and Hartung-Knapp-Sidik-Jonkman confidence-interval adjustment were conducted separately for each Big Five trait. Pooled effect sizes, 95% confidence intervals, 95% prediction intervals, and heterogeneity statistics are summarized in Table 2. Forest plots for each trait are presented in Figures 2 through 6.</w:t>
      </w:r>
    </w:p>
    <w:p>
      <w:pPr>
        <w:spacing w:line="480" w:lineRule="auto" w:before="0" w:after="0"/>
        <w:ind w:firstLine="720"/>
      </w:pPr>
      <w:r>
        <w:rPr>
          <w:rFonts w:ascii="Times New Roman" w:hAnsi="Times New Roman" w:eastAsia="Times New Roman"/>
          <w:sz w:val="24"/>
        </w:rPr>
        <w:t xml:space="preserve">Conscientiousness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academic achievement in online learning environments was </w:t>
      </w:r>
      <w:r>
        <w:rPr>
          <w:rFonts w:ascii="Times New Roman" w:hAnsi="Times New Roman" w:eastAsia="Times New Roman"/>
          <w:i/>
          <w:sz w:val="24"/>
        </w:rPr>
        <w:t>r</w:t>
      </w:r>
      <w:r>
        <w:rPr>
          <w:rFonts w:ascii="Times New Roman" w:hAnsi="Times New Roman" w:eastAsia="Times New Roman"/>
          <w:sz w:val="24"/>
        </w:rPr>
        <w:t xml:space="preserve"> = .167 (95% CI [.089, .243], 95% PI [−.020, .343]), partially supporting Hypothesis 1 (H1: expected </w:t>
      </w:r>
      <w:r>
        <w:rPr>
          <w:rFonts w:ascii="Times New Roman" w:hAnsi="Times New Roman" w:eastAsia="Times New Roman"/>
          <w:i/>
          <w:sz w:val="24"/>
        </w:rPr>
        <w:t>ρ</w:t>
      </w:r>
      <w:r>
        <w:rPr>
          <w:rFonts w:ascii="Times New Roman" w:hAnsi="Times New Roman" w:eastAsia="Times New Roman"/>
          <w:sz w:val="24"/>
        </w:rPr>
        <w:t xml:space="preserve"> = .20–.35). The point estimate was the largest of the five Big Five traits in the present synthesis, confirming the ordinal prediction of H1, but its magnitude was somewhat below the face-to-face benchmark range of </w:t>
      </w:r>
      <w:r>
        <w:rPr>
          <w:rFonts w:ascii="Times New Roman" w:hAnsi="Times New Roman" w:eastAsia="Times New Roman"/>
          <w:i/>
          <w:sz w:val="24"/>
        </w:rPr>
        <w:t>ρ</w:t>
      </w:r>
      <w:r>
        <w:rPr>
          <w:rFonts w:ascii="Times New Roman" w:hAnsi="Times New Roman" w:eastAsia="Times New Roman"/>
          <w:sz w:val="24"/>
        </w:rPr>
        <w:t xml:space="preserve"> = .19–.28 reported by Poropat (2009), McAbee and Oswald (2013), Vedel (2014), Mammadov (2022), Meyer et al. (2023), and Chen et al. (2025). Heterogeneity was moderate (Q(9) = 25.79, </w:t>
      </w:r>
      <w:r>
        <w:rPr>
          <w:rFonts w:ascii="Times New Roman" w:hAnsi="Times New Roman" w:eastAsia="Times New Roman"/>
          <w:i/>
          <w:sz w:val="24"/>
        </w:rPr>
        <w:t>p</w:t>
      </w:r>
      <w:r>
        <w:rPr>
          <w:rFonts w:ascii="Times New Roman" w:hAnsi="Times New Roman" w:eastAsia="Times New Roman"/>
          <w:sz w:val="24"/>
        </w:rPr>
        <w:t xml:space="preserve"> = .002; </w:t>
      </w:r>
      <w:r>
        <w:rPr>
          <w:rFonts w:ascii="Times New Roman" w:hAnsi="Times New Roman" w:eastAsia="Times New Roman"/>
          <w:i/>
          <w:sz w:val="24"/>
        </w:rPr>
        <w:t>I²</w:t>
      </w:r>
      <w:r>
        <w:rPr>
          <w:rFonts w:ascii="Times New Roman" w:hAnsi="Times New Roman" w:eastAsia="Times New Roman"/>
          <w:sz w:val="24"/>
        </w:rPr>
        <w:t xml:space="preserve"> = 65.1%; </w:t>
      </w:r>
      <w:r>
        <w:rPr>
          <w:rFonts w:ascii="Times New Roman" w:hAnsi="Times New Roman" w:eastAsia="Times New Roman"/>
          <w:i/>
          <w:sz w:val="24"/>
        </w:rPr>
        <w:t>τ²</w:t>
      </w:r>
      <w:r>
        <w:rPr>
          <w:rFonts w:ascii="Times New Roman" w:hAnsi="Times New Roman" w:eastAsia="Times New Roman"/>
          <w:sz w:val="24"/>
        </w:rPr>
        <w:t xml:space="preserve"> = .006; </w:t>
      </w:r>
      <w:r>
        <w:rPr>
          <w:rFonts w:ascii="Times New Roman" w:hAnsi="Times New Roman" w:eastAsia="Times New Roman"/>
          <w:i/>
          <w:sz w:val="24"/>
        </w:rPr>
        <w:t>τ</w:t>
      </w:r>
      <w:r>
        <w:rPr>
          <w:rFonts w:ascii="Times New Roman" w:hAnsi="Times New Roman" w:eastAsia="Times New Roman"/>
          <w:sz w:val="24"/>
        </w:rPr>
        <w:t xml:space="preserve"> = .076).</w:t>
      </w:r>
    </w:p>
    <w:p>
      <w:pPr>
        <w:spacing w:line="480" w:lineRule="auto" w:before="0" w:after="0"/>
        <w:ind w:firstLine="720"/>
      </w:pPr>
      <w:r>
        <w:rPr>
          <w:rFonts w:ascii="Times New Roman" w:hAnsi="Times New Roman" w:eastAsia="Times New Roman"/>
          <w:sz w:val="24"/>
        </w:rPr>
        <w:t xml:space="preserve">Openness to Experience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.086 (95% CI [−.044, .214], 95% PI [−.273, .425]). This estimate was comparable to the face-to-face benchmark from Mammadov (2022; </w:t>
      </w:r>
      <w:r>
        <w:rPr>
          <w:rFonts w:ascii="Times New Roman" w:hAnsi="Times New Roman" w:eastAsia="Times New Roman"/>
          <w:i/>
          <w:sz w:val="24"/>
        </w:rPr>
        <w:t>ρ</w:t>
      </w:r>
      <w:r>
        <w:rPr>
          <w:rFonts w:ascii="Times New Roman" w:hAnsi="Times New Roman" w:eastAsia="Times New Roman"/>
          <w:sz w:val="24"/>
        </w:rPr>
        <w:t xml:space="preserve"> = .16) and smaller than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and the 95% confidence interval crossed zero. Hypothesis 2 (H2), which predicted a stronger Openness effect in online than in face-to-face contexts, was therefore not supported by the present primary analysis. Heterogeneity was very high (Q(8) = 100.17,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92.0%; </w:t>
      </w:r>
      <w:r>
        <w:rPr>
          <w:rFonts w:ascii="Times New Roman" w:hAnsi="Times New Roman" w:eastAsia="Times New Roman"/>
          <w:i/>
          <w:sz w:val="24"/>
        </w:rPr>
        <w:t>τ²</w:t>
      </w:r>
      <w:r>
        <w:rPr>
          <w:rFonts w:ascii="Times New Roman" w:hAnsi="Times New Roman" w:eastAsia="Times New Roman"/>
          <w:sz w:val="24"/>
        </w:rPr>
        <w:t xml:space="preserve"> = .021), consistent with the wide dispersion of reported Openness effects across primary studies (e.g., </w:t>
      </w:r>
      <w:r>
        <w:rPr>
          <w:rFonts w:ascii="Times New Roman" w:hAnsi="Times New Roman" w:eastAsia="Times New Roman"/>
          <w:i/>
          <w:sz w:val="24"/>
        </w:rPr>
        <w:t>r</w:t>
      </w:r>
      <w:r>
        <w:rPr>
          <w:rFonts w:ascii="Times New Roman" w:hAnsi="Times New Roman" w:eastAsia="Times New Roman"/>
          <w:sz w:val="24"/>
        </w:rPr>
        <w:t xml:space="preserve"> = .35 for Abe's essay outcome; </w:t>
      </w:r>
      <w:r>
        <w:rPr>
          <w:rFonts w:ascii="Times New Roman" w:hAnsi="Times New Roman" w:eastAsia="Times New Roman"/>
          <w:i/>
          <w:sz w:val="24"/>
        </w:rPr>
        <w:t>r</w:t>
      </w:r>
      <w:r>
        <w:rPr>
          <w:rFonts w:ascii="Times New Roman" w:hAnsi="Times New Roman" w:eastAsia="Times New Roman"/>
          <w:sz w:val="24"/>
        </w:rPr>
        <w:t xml:space="preserve"> = .305 for Yu's MOOC composite vs. </w:t>
      </w:r>
      <w:r>
        <w:rPr>
          <w:rFonts w:ascii="Times New Roman" w:hAnsi="Times New Roman" w:eastAsia="Times New Roman"/>
          <w:i/>
          <w:sz w:val="24"/>
        </w:rPr>
        <w:t>r</w:t>
      </w:r>
      <w:r>
        <w:rPr>
          <w:rFonts w:ascii="Times New Roman" w:hAnsi="Times New Roman" w:eastAsia="Times New Roman"/>
          <w:sz w:val="24"/>
        </w:rPr>
        <w:t xml:space="preserve"> = −.066 for Rivers's asynchronous Moodle outcome).</w:t>
      </w:r>
    </w:p>
    <w:p>
      <w:pPr>
        <w:spacing w:line="480" w:lineRule="auto" w:before="0" w:after="0"/>
        <w:ind w:firstLine="720"/>
      </w:pPr>
      <w:r>
        <w:rPr>
          <w:rFonts w:ascii="Times New Roman" w:hAnsi="Times New Roman" w:eastAsia="Times New Roman"/>
          <w:sz w:val="24"/>
        </w:rPr>
        <w:t xml:space="preserve">Extraversion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.002 (95% CI [−.076, .080]). This null estimate supports Hypothesis 5 (H5), which predicted a null or weak negative Extraversion–achievement association in online environments. Notably, the direct negative effect reported by Rivers (2021; </w:t>
      </w:r>
      <w:r>
        <w:rPr>
          <w:rFonts w:ascii="Times New Roman" w:hAnsi="Times New Roman" w:eastAsia="Times New Roman"/>
          <w:i/>
          <w:sz w:val="24"/>
        </w:rPr>
        <w:t>β</w:t>
      </w:r>
      <w:r>
        <w:rPr>
          <w:rFonts w:ascii="Times New Roman" w:hAnsi="Times New Roman" w:eastAsia="Times New Roman"/>
          <w:sz w:val="24"/>
        </w:rPr>
        <w:t xml:space="preserve"> = −.168) and the MOOC finding of Yu (2021; standardized </w:t>
      </w:r>
      <w:r>
        <w:rPr>
          <w:rFonts w:ascii="Times New Roman" w:hAnsi="Times New Roman" w:eastAsia="Times New Roman"/>
          <w:i/>
          <w:sz w:val="24"/>
        </w:rPr>
        <w:t>β</w:t>
      </w:r>
      <w:r>
        <w:rPr>
          <w:rFonts w:ascii="Times New Roman" w:hAnsi="Times New Roman" w:eastAsia="Times New Roman"/>
          <w:sz w:val="24"/>
        </w:rPr>
        <w:t xml:space="preserve"> = −.076) contributed to pulling the pooled estimate toward zero from the otherwise mixed face-to-face pattern. Heterogeneity was moderate-to-high (Q(8) = 32.66,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75.5%; </w:t>
      </w:r>
      <w:r>
        <w:rPr>
          <w:rFonts w:ascii="Times New Roman" w:hAnsi="Times New Roman" w:eastAsia="Times New Roman"/>
          <w:i/>
          <w:sz w:val="24"/>
        </w:rPr>
        <w:t>τ²</w:t>
      </w:r>
      <w:r>
        <w:rPr>
          <w:rFonts w:ascii="Times New Roman" w:hAnsi="Times New Roman" w:eastAsia="Times New Roman"/>
          <w:sz w:val="24"/>
        </w:rPr>
        <w:t xml:space="preserve"> = .006), suggesting that the overall null effect masks systematic moderator-driven variation, an expectation explored below.</w:t>
      </w:r>
    </w:p>
    <w:p>
      <w:pPr>
        <w:spacing w:line="480" w:lineRule="auto" w:before="0" w:after="0"/>
        <w:ind w:firstLine="720"/>
      </w:pPr>
      <w:r>
        <w:rPr>
          <w:rFonts w:ascii="Times New Roman" w:hAnsi="Times New Roman" w:eastAsia="Times New Roman"/>
          <w:sz w:val="24"/>
        </w:rPr>
        <w:t xml:space="preserve">Agreeableness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9 studies (total </w:t>
      </w:r>
      <w:r>
        <w:rPr>
          <w:rFonts w:ascii="Times New Roman" w:hAnsi="Times New Roman" w:eastAsia="Times New Roman"/>
          <w:i/>
          <w:sz w:val="24"/>
        </w:rPr>
        <w:t>N</w:t>
      </w:r>
      <w:r>
        <w:rPr>
          <w:rFonts w:ascii="Times New Roman" w:hAnsi="Times New Roman" w:eastAsia="Times New Roman"/>
          <w:sz w:val="24"/>
        </w:rPr>
        <w:t xml:space="preserve"> = 3,363), the pooled correlation was </w:t>
      </w:r>
      <w:r>
        <w:rPr>
          <w:rFonts w:ascii="Times New Roman" w:hAnsi="Times New Roman" w:eastAsia="Times New Roman"/>
          <w:i/>
          <w:sz w:val="24"/>
        </w:rPr>
        <w:t>r</w:t>
      </w:r>
      <w:r>
        <w:rPr>
          <w:rFonts w:ascii="Times New Roman" w:hAnsi="Times New Roman" w:eastAsia="Times New Roman"/>
          <w:sz w:val="24"/>
        </w:rPr>
        <w:t xml:space="preserve"> = .112 (95% CI [−.031, .250]). This estimate was slightly larger than the face-to-face benchmark of </w:t>
      </w:r>
      <w:r>
        <w:rPr>
          <w:rFonts w:ascii="Times New Roman" w:hAnsi="Times New Roman" w:eastAsia="Times New Roman"/>
          <w:i/>
          <w:sz w:val="24"/>
        </w:rPr>
        <w:t>ρ</w:t>
      </w:r>
      <w:r>
        <w:rPr>
          <w:rFonts w:ascii="Times New Roman" w:hAnsi="Times New Roman" w:eastAsia="Times New Roman"/>
          <w:sz w:val="24"/>
        </w:rPr>
        <w:t xml:space="preserve"> = .05–.10 (Poropat, 2009; Vedel, 2014; Chen et al., 2025), contrary to Hypothesis 3 (H3), which predicted a weaker Agreeableness effect in online than in face-to-face contexts. Chinese samples in the primary corpus (Yu, 2021; Wang et al., 2023) showed amplified Agreeableness effects (converted </w:t>
      </w:r>
      <w:r>
        <w:rPr>
          <w:rFonts w:ascii="Times New Roman" w:hAnsi="Times New Roman" w:eastAsia="Times New Roman"/>
          <w:i/>
          <w:sz w:val="24"/>
        </w:rPr>
        <w:t>β</w:t>
      </w:r>
      <w:r>
        <w:rPr>
          <w:rFonts w:ascii="Times New Roman" w:hAnsi="Times New Roman" w:eastAsia="Times New Roman"/>
          <w:sz w:val="24"/>
        </w:rPr>
        <w:t xml:space="preserve"> = .442 and </w:t>
      </w:r>
      <w:r>
        <w:rPr>
          <w:rFonts w:ascii="Times New Roman" w:hAnsi="Times New Roman" w:eastAsia="Times New Roman"/>
          <w:i/>
          <w:sz w:val="24"/>
        </w:rPr>
        <w:t>β</w:t>
      </w:r>
      <w:r>
        <w:rPr>
          <w:rFonts w:ascii="Times New Roman" w:hAnsi="Times New Roman" w:eastAsia="Times New Roman"/>
          <w:sz w:val="24"/>
        </w:rPr>
        <w:t xml:space="preserve"> = .112, respectively), contributing to the higher pooled estimate; this is explored in the region moderator analysis. Heterogeneity was extremely high (Q(8) = 208.49,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96.2%; </w:t>
      </w:r>
      <w:r>
        <w:rPr>
          <w:rFonts w:ascii="Times New Roman" w:hAnsi="Times New Roman" w:eastAsia="Times New Roman"/>
          <w:i/>
          <w:sz w:val="24"/>
        </w:rPr>
        <w:t>τ²</w:t>
      </w:r>
      <w:r>
        <w:rPr>
          <w:rFonts w:ascii="Times New Roman" w:hAnsi="Times New Roman" w:eastAsia="Times New Roman"/>
          <w:sz w:val="24"/>
        </w:rPr>
        <w:t xml:space="preserve"> = .030).</w:t>
      </w:r>
    </w:p>
    <w:p>
      <w:pPr>
        <w:spacing w:line="480" w:lineRule="auto" w:before="0" w:after="0"/>
        <w:ind w:firstLine="720"/>
      </w:pPr>
      <w:r>
        <w:rPr>
          <w:rFonts w:ascii="Times New Roman" w:hAnsi="Times New Roman" w:eastAsia="Times New Roman"/>
          <w:sz w:val="24"/>
        </w:rPr>
        <w:t xml:space="preserve">Neuroticism and online academic achievement. Across </w:t>
      </w:r>
      <w:r>
        <w:rPr>
          <w:rFonts w:ascii="Times New Roman" w:hAnsi="Times New Roman" w:eastAsia="Times New Roman"/>
          <w:i/>
          <w:sz w:val="24"/>
        </w:rPr>
        <w:t>k</w:t>
      </w:r>
      <w:r>
        <w:rPr>
          <w:rFonts w:ascii="Times New Roman" w:hAnsi="Times New Roman" w:eastAsia="Times New Roman"/>
          <w:sz w:val="24"/>
        </w:rPr>
        <w:t xml:space="preserve"> = 10 studies (total </w:t>
      </w:r>
      <w:r>
        <w:rPr>
          <w:rFonts w:ascii="Times New Roman" w:hAnsi="Times New Roman" w:eastAsia="Times New Roman"/>
          <w:i/>
          <w:sz w:val="24"/>
        </w:rPr>
        <w:t>N</w:t>
      </w:r>
      <w:r>
        <w:rPr>
          <w:rFonts w:ascii="Times New Roman" w:hAnsi="Times New Roman" w:eastAsia="Times New Roman"/>
          <w:sz w:val="24"/>
        </w:rPr>
        <w:t xml:space="preserve"> = 3,384), the pooled correlation was </w:t>
      </w:r>
      <w:r>
        <w:rPr>
          <w:rFonts w:ascii="Times New Roman" w:hAnsi="Times New Roman" w:eastAsia="Times New Roman"/>
          <w:i/>
          <w:sz w:val="24"/>
        </w:rPr>
        <w:t>r</w:t>
      </w:r>
      <w:r>
        <w:rPr>
          <w:rFonts w:ascii="Times New Roman" w:hAnsi="Times New Roman" w:eastAsia="Times New Roman"/>
          <w:sz w:val="24"/>
        </w:rPr>
        <w:t xml:space="preserve"> = .018 (95% CI [−.079, .114]). The direction was null and the magnitude was substantially weaker than the prediction of Hypothesis 4 (H4), which expected a negative effect more pronounced in fully online than in blended modalities; H4 was not supported in the primary analysis. Heterogeneity was moderate-to-high (Q(9) = 42.76, </w:t>
      </w:r>
      <w:r>
        <w:rPr>
          <w:rFonts w:ascii="Times New Roman" w:hAnsi="Times New Roman" w:eastAsia="Times New Roman"/>
          <w:i/>
          <w:sz w:val="24"/>
        </w:rPr>
        <w:t>p</w:t>
      </w:r>
      <w:r>
        <w:rPr>
          <w:rFonts w:ascii="Times New Roman" w:hAnsi="Times New Roman" w:eastAsia="Times New Roman"/>
          <w:sz w:val="24"/>
        </w:rPr>
        <w:t xml:space="preserve"> &lt; .001; </w:t>
      </w:r>
      <w:r>
        <w:rPr>
          <w:rFonts w:ascii="Times New Roman" w:hAnsi="Times New Roman" w:eastAsia="Times New Roman"/>
          <w:i/>
          <w:sz w:val="24"/>
        </w:rPr>
        <w:t>I²</w:t>
      </w:r>
      <w:r>
        <w:rPr>
          <w:rFonts w:ascii="Times New Roman" w:hAnsi="Times New Roman" w:eastAsia="Times New Roman"/>
          <w:sz w:val="24"/>
        </w:rPr>
        <w:t xml:space="preserve"> = 79.0%; </w:t>
      </w:r>
      <w:r>
        <w:rPr>
          <w:rFonts w:ascii="Times New Roman" w:hAnsi="Times New Roman" w:eastAsia="Times New Roman"/>
          <w:i/>
          <w:sz w:val="24"/>
        </w:rPr>
        <w:t>τ²</w:t>
      </w:r>
      <w:r>
        <w:rPr>
          <w:rFonts w:ascii="Times New Roman" w:hAnsi="Times New Roman" w:eastAsia="Times New Roman"/>
          <w:sz w:val="24"/>
        </w:rPr>
        <w:t xml:space="preserve"> = .010). Primary-study signs were mixed: Rodrigues et al. (2024) and Baruth and Cohen (2023) reported negative associations with satisfaction or well-being, whereas Yu (2021) reported a weakly positive association, and the β-excluded sensitivity analysis (see below) reduced the pooled </w:t>
      </w:r>
      <w:r>
        <w:rPr>
          <w:rFonts w:ascii="Times New Roman" w:hAnsi="Times New Roman" w:eastAsia="Times New Roman"/>
          <w:i/>
          <w:sz w:val="24"/>
        </w:rPr>
        <w:t>N</w:t>
      </w:r>
      <w:r>
        <w:rPr>
          <w:rFonts w:ascii="Times New Roman" w:hAnsi="Times New Roman" w:eastAsia="Times New Roman"/>
          <w:sz w:val="24"/>
        </w:rPr>
        <w:t xml:space="preserve"> estimate to </w:t>
      </w:r>
      <w:r>
        <w:rPr>
          <w:rFonts w:ascii="Times New Roman" w:hAnsi="Times New Roman" w:eastAsia="Times New Roman"/>
          <w:i/>
          <w:sz w:val="24"/>
        </w:rPr>
        <w:t>r</w:t>
      </w:r>
      <w:r>
        <w:rPr>
          <w:rFonts w:ascii="Times New Roman" w:hAnsi="Times New Roman" w:eastAsia="Times New Roman"/>
          <w:sz w:val="24"/>
        </w:rPr>
        <w:t xml:space="preserve"> = −.043, partially consistent with H4 under β-free conditions.</w:t>
      </w:r>
    </w:p>
    <w:p>
      <w:pPr>
        <w:pStyle w:val="Heading2"/>
        <w:spacing w:line="480" w:lineRule="auto" w:before="0" w:after="0"/>
      </w:pPr>
      <w:r>
        <w:t>Between-Study Heterogeneity</w:t>
      </w:r>
    </w:p>
    <w:p>
      <w:pPr>
        <w:spacing w:line="480" w:lineRule="auto" w:before="0" w:after="0"/>
        <w:ind w:firstLine="720"/>
      </w:pPr>
      <w:r>
        <w:rPr>
          <w:rFonts w:ascii="Times New Roman" w:hAnsi="Times New Roman" w:eastAsia="Times New Roman"/>
          <w:sz w:val="24"/>
        </w:rPr>
        <w:t xml:space="preserve">Substantial between-study heterogeneity was observed across all five trait pools, with </w:t>
      </w:r>
      <w:r>
        <w:rPr>
          <w:rFonts w:ascii="Times New Roman" w:hAnsi="Times New Roman" w:eastAsia="Times New Roman"/>
          <w:i/>
          <w:sz w:val="24"/>
        </w:rPr>
        <w:t>I²</w:t>
      </w:r>
      <w:r>
        <w:rPr>
          <w:rFonts w:ascii="Times New Roman" w:hAnsi="Times New Roman" w:eastAsia="Times New Roman"/>
          <w:sz w:val="24"/>
        </w:rPr>
        <w:t xml:space="preserve"> values ranging from 65.1% (Conscientiousness) to 96.2% (Agreeableness). The consistently high </w:t>
      </w:r>
      <w:r>
        <w:rPr>
          <w:rFonts w:ascii="Times New Roman" w:hAnsi="Times New Roman" w:eastAsia="Times New Roman"/>
          <w:i/>
          <w:sz w:val="24"/>
        </w:rPr>
        <w:t>I²</w:t>
      </w:r>
      <w:r>
        <w:rPr>
          <w:rFonts w:ascii="Times New Roman" w:hAnsi="Times New Roman" w:eastAsia="Times New Roman"/>
          <w:sz w:val="24"/>
        </w:rPr>
        <w:t xml:space="preserve"> estimates—typical for psychological meta-analyses of personality-achievement associations (Mammadov, 2022; Meyer et al., 2023)—indicate that a single fixed population effect is implausible and that exploration of moderators is warranted. The 95% prediction intervals included zero for all five traits and extended to substantially different magnitudes at both tails (for Agreeableness, the PI spanned [−.310, .496]), suggesting that the true population effect in a new study drawn from this literature could plausibly vary substantially in magnitude and in some cases in direction. These patterns motivate the moderator analyses reported next.</w:t>
      </w:r>
    </w:p>
    <w:p>
      <w:pPr>
        <w:pStyle w:val="Heading2"/>
        <w:spacing w:line="480" w:lineRule="auto" w:before="0" w:after="0"/>
      </w:pPr>
      <w:r>
        <w:t>Moderator Analyses</w:t>
      </w:r>
    </w:p>
    <w:p>
      <w:pPr>
        <w:spacing w:line="480" w:lineRule="auto" w:before="0" w:after="0"/>
        <w:ind w:firstLine="720"/>
      </w:pPr>
      <w:r>
        <w:rPr>
          <w:rFonts w:ascii="Times New Roman" w:hAnsi="Times New Roman" w:eastAsia="Times New Roman"/>
          <w:sz w:val="24"/>
        </w:rPr>
        <w:t xml:space="preserve">Three pre-registered moderators met the minimum k-per-level requirement of the present synthesis and were analyzed quantitatively via subgroup random-effects meta-analyses: region (Asia vs. non-Asia), era (pre-COVID vs. COVID-era), and outcome type (objective vs. self-reported achievement). The remaining six pre-registered moderators (personality instrument, publication year, log-sample size, risk-of-bias score, modality, education level) did not meet the </w:t>
      </w:r>
      <w:r>
        <w:rPr>
          <w:rFonts w:ascii="Times New Roman" w:hAnsi="Times New Roman" w:eastAsia="Times New Roman"/>
          <w:i/>
          <w:sz w:val="24"/>
        </w:rPr>
        <w:t>k</w:t>
      </w:r>
      <w:r>
        <w:rPr>
          <w:rFonts w:ascii="Times New Roman" w:hAnsi="Times New Roman" w:eastAsia="Times New Roman"/>
          <w:sz w:val="24"/>
        </w:rPr>
        <w:t xml:space="preserve"> ≥ 10 per predictor level requirement, and are reported narratively below and in the Methods Deviations subsection. Full moderator results are presented in Table 3.</w:t>
      </w:r>
    </w:p>
    <w:p>
      <w:pPr>
        <w:spacing w:line="480" w:lineRule="auto" w:before="0" w:after="0"/>
        <w:ind w:firstLine="720"/>
      </w:pPr>
      <w:r>
        <w:rPr>
          <w:rFonts w:ascii="Times New Roman" w:hAnsi="Times New Roman" w:eastAsia="Times New Roman"/>
          <w:sz w:val="24"/>
        </w:rPr>
        <w:t xml:space="preserve">Region. The Asian-sample pattern reported by Mammadov (2022) and Chen et al. (2025) was evaluated with </w:t>
      </w:r>
      <w:r>
        <w:rPr>
          <w:rFonts w:ascii="Times New Roman" w:hAnsi="Times New Roman" w:eastAsia="Times New Roman"/>
          <w:i/>
          <w:sz w:val="24"/>
        </w:rPr>
        <w:t>k</w:t>
      </w:r>
      <w:r>
        <w:rPr>
          <w:rFonts w:ascii="Times New Roman" w:hAnsi="Times New Roman" w:eastAsia="Times New Roman"/>
          <w:sz w:val="24"/>
        </w:rPr>
        <w:t xml:space="preserve"> = 2 Asian studies against </w:t>
      </w:r>
      <w:r>
        <w:rPr>
          <w:rFonts w:ascii="Times New Roman" w:hAnsi="Times New Roman" w:eastAsia="Times New Roman"/>
          <w:i/>
          <w:sz w:val="24"/>
        </w:rPr>
        <w:t>k</w:t>
      </w:r>
      <w:r>
        <w:rPr>
          <w:rFonts w:ascii="Times New Roman" w:hAnsi="Times New Roman" w:eastAsia="Times New Roman"/>
          <w:sz w:val="24"/>
        </w:rPr>
        <w:t xml:space="preserve"> = 7–8 non-Asian studies per trait. A highly significant region effect emerged for Extraversion: in the Asian subgroup the pooled correlation was </w:t>
      </w:r>
      <w:r>
        <w:rPr>
          <w:rFonts w:ascii="Times New Roman" w:hAnsi="Times New Roman" w:eastAsia="Times New Roman"/>
          <w:i/>
          <w:sz w:val="24"/>
        </w:rPr>
        <w:t>r</w:t>
      </w:r>
      <w:r>
        <w:rPr>
          <w:rFonts w:ascii="Times New Roman" w:hAnsi="Times New Roman" w:eastAsia="Times New Roman"/>
          <w:sz w:val="24"/>
        </w:rPr>
        <w:t xml:space="preserve"> = −.131 (95% CI [−.314, .061]), whereas in the non-Asian subgroup it was </w:t>
      </w:r>
      <w:r>
        <w:rPr>
          <w:rFonts w:ascii="Times New Roman" w:hAnsi="Times New Roman" w:eastAsia="Times New Roman"/>
          <w:i/>
          <w:sz w:val="24"/>
        </w:rPr>
        <w:t>r</w:t>
      </w:r>
      <w:r>
        <w:rPr>
          <w:rFonts w:ascii="Times New Roman" w:hAnsi="Times New Roman" w:eastAsia="Times New Roman"/>
          <w:sz w:val="24"/>
        </w:rPr>
        <w:t xml:space="preserve"> = .050 (95% CI [−.004, .104]); Q_between(1) = 46.43, </w:t>
      </w:r>
      <w:r>
        <w:rPr>
          <w:rFonts w:ascii="Times New Roman" w:hAnsi="Times New Roman" w:eastAsia="Times New Roman"/>
          <w:i/>
          <w:sz w:val="24"/>
        </w:rPr>
        <w:t>p</w:t>
      </w:r>
      <w:r>
        <w:rPr>
          <w:rFonts w:ascii="Times New Roman" w:hAnsi="Times New Roman" w:eastAsia="Times New Roman"/>
          <w:sz w:val="24"/>
        </w:rPr>
        <w:t xml:space="preserve"> &lt; .001. This pattern is consistent with Chen et al.'s (2025) finding that Extraversion shows significantly negative effects in collectivistic and culturally sensitive contexts. Trends in the same direction, not reaching significance, were observed for Neuroticism (Asia </w:t>
      </w:r>
      <w:r>
        <w:rPr>
          <w:rFonts w:ascii="Times New Roman" w:hAnsi="Times New Roman" w:eastAsia="Times New Roman"/>
          <w:i/>
          <w:sz w:val="24"/>
        </w:rPr>
        <w:t>r</w:t>
      </w:r>
      <w:r>
        <w:rPr>
          <w:rFonts w:ascii="Times New Roman" w:hAnsi="Times New Roman" w:eastAsia="Times New Roman"/>
          <w:sz w:val="24"/>
        </w:rPr>
        <w:t xml:space="preserve"> = .089 vs. non-Asia </w:t>
      </w:r>
      <w:r>
        <w:rPr>
          <w:rFonts w:ascii="Times New Roman" w:hAnsi="Times New Roman" w:eastAsia="Times New Roman"/>
          <w:i/>
          <w:sz w:val="24"/>
        </w:rPr>
        <w:t>r</w:t>
      </w:r>
      <w:r>
        <w:rPr>
          <w:rFonts w:ascii="Times New Roman" w:hAnsi="Times New Roman" w:eastAsia="Times New Roman"/>
          <w:sz w:val="24"/>
        </w:rPr>
        <w:t xml:space="preserve"> = −.007; Q_between(1) = 3.31, </w:t>
      </w:r>
      <w:r>
        <w:rPr>
          <w:rFonts w:ascii="Times New Roman" w:hAnsi="Times New Roman" w:eastAsia="Times New Roman"/>
          <w:i/>
          <w:sz w:val="24"/>
        </w:rPr>
        <w:t>p</w:t>
      </w:r>
      <w:r>
        <w:rPr>
          <w:rFonts w:ascii="Times New Roman" w:hAnsi="Times New Roman" w:eastAsia="Times New Roman"/>
          <w:sz w:val="24"/>
        </w:rPr>
        <w:t xml:space="preserve"> = .069) and for Agreeableness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Q_between(1) = 2.17, </w:t>
      </w:r>
      <w:r>
        <w:rPr>
          <w:rFonts w:ascii="Times New Roman" w:hAnsi="Times New Roman" w:eastAsia="Times New Roman"/>
          <w:i/>
          <w:sz w:val="24"/>
        </w:rPr>
        <w:t>p</w:t>
      </w:r>
      <w:r>
        <w:rPr>
          <w:rFonts w:ascii="Times New Roman" w:hAnsi="Times New Roman" w:eastAsia="Times New Roman"/>
          <w:sz w:val="24"/>
        </w:rPr>
        <w:t xml:space="preserve"> = .140). Counterintuitively, the Conscientiousness effect was slightly weaker in the Asian subgroup (</w:t>
      </w:r>
      <w:r>
        <w:rPr>
          <w:rFonts w:ascii="Times New Roman" w:hAnsi="Times New Roman" w:eastAsia="Times New Roman"/>
          <w:i/>
          <w:sz w:val="24"/>
        </w:rPr>
        <w:t>r</w:t>
      </w:r>
      <w:r>
        <w:rPr>
          <w:rFonts w:ascii="Times New Roman" w:hAnsi="Times New Roman" w:eastAsia="Times New Roman"/>
          <w:sz w:val="24"/>
        </w:rPr>
        <w:t xml:space="preserve"> = .111) than in the non-Asian subgroup (</w:t>
      </w:r>
      <w:r>
        <w:rPr>
          <w:rFonts w:ascii="Times New Roman" w:hAnsi="Times New Roman" w:eastAsia="Times New Roman"/>
          <w:i/>
          <w:sz w:val="24"/>
        </w:rPr>
        <w:t>r</w:t>
      </w:r>
      <w:r>
        <w:rPr>
          <w:rFonts w:ascii="Times New Roman" w:hAnsi="Times New Roman" w:eastAsia="Times New Roman"/>
          <w:sz w:val="24"/>
        </w:rPr>
        <w:t xml:space="preserve"> = .185); Q_between(1) = 2.68, </w:t>
      </w:r>
      <w:r>
        <w:rPr>
          <w:rFonts w:ascii="Times New Roman" w:hAnsi="Times New Roman" w:eastAsia="Times New Roman"/>
          <w:i/>
          <w:sz w:val="24"/>
        </w:rPr>
        <w:t>p</w:t>
      </w:r>
      <w:r>
        <w:rPr>
          <w:rFonts w:ascii="Times New Roman" w:hAnsi="Times New Roman" w:eastAsia="Times New Roman"/>
          <w:sz w:val="24"/>
        </w:rPr>
        <w:t xml:space="preserve"> = .102. The </w:t>
      </w:r>
      <w:r>
        <w:rPr>
          <w:rFonts w:ascii="Times New Roman" w:hAnsi="Times New Roman" w:eastAsia="Times New Roman"/>
          <w:i/>
          <w:sz w:val="24"/>
        </w:rPr>
        <w:t>k</w:t>
      </w:r>
      <w:r>
        <w:rPr>
          <w:rFonts w:ascii="Times New Roman" w:hAnsi="Times New Roman" w:eastAsia="Times New Roman"/>
          <w:sz w:val="24"/>
        </w:rPr>
        <w:t xml:space="preserve"> = 2 Asian subsample limits power, and replication is required.</w:t>
      </w:r>
    </w:p>
    <w:p>
      <w:pPr>
        <w:spacing w:line="480" w:lineRule="auto" w:before="0" w:after="0"/>
        <w:ind w:firstLine="720"/>
      </w:pPr>
      <w:r>
        <w:rPr>
          <w:rFonts w:ascii="Times New Roman" w:hAnsi="Times New Roman" w:eastAsia="Times New Roman"/>
          <w:sz w:val="24"/>
        </w:rPr>
        <w:t xml:space="preserve">Era. The pre-COVID vs. COVID-era contrast yielded no significant moderation for any trait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.15). Notably,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Q_between(1) = 0.13, </w:t>
      </w:r>
      <w:r>
        <w:rPr>
          <w:rFonts w:ascii="Times New Roman" w:hAnsi="Times New Roman" w:eastAsia="Times New Roman"/>
          <w:i/>
          <w:sz w:val="24"/>
        </w:rPr>
        <w:t>p</w:t>
      </w:r>
      <w:r>
        <w:rPr>
          <w:rFonts w:ascii="Times New Roman" w:hAnsi="Times New Roman" w:eastAsia="Times New Roman"/>
          <w:sz w:val="24"/>
        </w:rPr>
        <w:t xml:space="preserve"> = .716), providing no evidence that the COVID-19 emergency remote teaching context selectively amplified the role of Conscientiousness. The Neuroticism-era pattern was consistent with an attenuation hypothesis (pre-COVID </w:t>
      </w:r>
      <w:r>
        <w:rPr>
          <w:rFonts w:ascii="Times New Roman" w:hAnsi="Times New Roman" w:eastAsia="Times New Roman"/>
          <w:i/>
          <w:sz w:val="24"/>
        </w:rPr>
        <w:t>r</w:t>
      </w:r>
      <w:r>
        <w:rPr>
          <w:rFonts w:ascii="Times New Roman" w:hAnsi="Times New Roman" w:eastAsia="Times New Roman"/>
          <w:sz w:val="24"/>
        </w:rPr>
        <w:t xml:space="preserve"> = −.050 vs. COVID </w:t>
      </w:r>
      <w:r>
        <w:rPr>
          <w:rFonts w:ascii="Times New Roman" w:hAnsi="Times New Roman" w:eastAsia="Times New Roman"/>
          <w:i/>
          <w:sz w:val="24"/>
        </w:rPr>
        <w:t>r</w:t>
      </w:r>
      <w:r>
        <w:rPr>
          <w:rFonts w:ascii="Times New Roman" w:hAnsi="Times New Roman" w:eastAsia="Times New Roman"/>
          <w:sz w:val="24"/>
        </w:rPr>
        <w:t xml:space="preserve"> = .060; Q_between(1) = 2.04, </w:t>
      </w:r>
      <w:r>
        <w:rPr>
          <w:rFonts w:ascii="Times New Roman" w:hAnsi="Times New Roman" w:eastAsia="Times New Roman"/>
          <w:i/>
          <w:sz w:val="24"/>
        </w:rPr>
        <w:t>p</w:t>
      </w:r>
      <w:r>
        <w:rPr>
          <w:rFonts w:ascii="Times New Roman" w:hAnsi="Times New Roman" w:eastAsia="Times New Roman"/>
          <w:sz w:val="24"/>
        </w:rPr>
        <w:t xml:space="preserve"> = .153), but did not reach conventional significance. The post-COVID era was under-represented (</w:t>
      </w:r>
      <w:r>
        <w:rPr>
          <w:rFonts w:ascii="Times New Roman" w:hAnsi="Times New Roman" w:eastAsia="Times New Roman"/>
          <w:i/>
          <w:sz w:val="24"/>
        </w:rPr>
        <w:t>k</w:t>
      </w:r>
      <w:r>
        <w:rPr>
          <w:rFonts w:ascii="Times New Roman" w:hAnsi="Times New Roman" w:eastAsia="Times New Roman"/>
          <w:sz w:val="24"/>
        </w:rPr>
        <w:t xml:space="preserve"> = 2 studies explicitly post-COVID) and could not be isolated as a distinct subgroup.</w:t>
      </w:r>
    </w:p>
    <w:p>
      <w:pPr>
        <w:spacing w:line="480" w:lineRule="auto" w:before="0" w:after="0"/>
        <w:ind w:firstLine="720"/>
      </w:pPr>
      <w:r>
        <w:rPr>
          <w:rFonts w:ascii="Times New Roman" w:hAnsi="Times New Roman" w:eastAsia="Times New Roman"/>
          <w:sz w:val="24"/>
        </w:rPr>
        <w:t xml:space="preserve">Outcome type. A second highly significant moderator effect emerged for Extraversion: in objective achievement outcomes (GPA, MOOC composite, course grade; </w:t>
      </w:r>
      <w:r>
        <w:rPr>
          <w:rFonts w:ascii="Times New Roman" w:hAnsi="Times New Roman" w:eastAsia="Times New Roman"/>
          <w:i/>
          <w:sz w:val="24"/>
        </w:rPr>
        <w:t>k</w:t>
      </w:r>
      <w:r>
        <w:rPr>
          <w:rFonts w:ascii="Times New Roman" w:hAnsi="Times New Roman" w:eastAsia="Times New Roman"/>
          <w:sz w:val="24"/>
        </w:rPr>
        <w:t xml:space="preserve"> = 7) the pooled correlation was </w:t>
      </w:r>
      <w:r>
        <w:rPr>
          <w:rFonts w:ascii="Times New Roman" w:hAnsi="Times New Roman" w:eastAsia="Times New Roman"/>
          <w:i/>
          <w:sz w:val="24"/>
        </w:rPr>
        <w:t>r</w:t>
      </w:r>
      <w:r>
        <w:rPr>
          <w:rFonts w:ascii="Times New Roman" w:hAnsi="Times New Roman" w:eastAsia="Times New Roman"/>
          <w:sz w:val="24"/>
        </w:rPr>
        <w:t xml:space="preserve"> = −.038 (95% CI calculation yielded narrow bounds near zero), whereas in self-rated performance outcomes (</w:t>
      </w:r>
      <w:r>
        <w:rPr>
          <w:rFonts w:ascii="Times New Roman" w:hAnsi="Times New Roman" w:eastAsia="Times New Roman"/>
          <w:i/>
          <w:sz w:val="24"/>
        </w:rPr>
        <w:t>k</w:t>
      </w:r>
      <w:r>
        <w:rPr>
          <w:rFonts w:ascii="Times New Roman" w:hAnsi="Times New Roman" w:eastAsia="Times New Roman"/>
          <w:sz w:val="24"/>
        </w:rPr>
        <w:t xml:space="preserve"> = 2) it was </w:t>
      </w:r>
      <w:r>
        <w:rPr>
          <w:rFonts w:ascii="Times New Roman" w:hAnsi="Times New Roman" w:eastAsia="Times New Roman"/>
          <w:i/>
          <w:sz w:val="24"/>
        </w:rPr>
        <w:t>r</w:t>
      </w:r>
      <w:r>
        <w:rPr>
          <w:rFonts w:ascii="Times New Roman" w:hAnsi="Times New Roman" w:eastAsia="Times New Roman"/>
          <w:sz w:val="24"/>
        </w:rPr>
        <w:t xml:space="preserve"> = .117; Q_between(1) = 17.30, </w:t>
      </w:r>
      <w:r>
        <w:rPr>
          <w:rFonts w:ascii="Times New Roman" w:hAnsi="Times New Roman" w:eastAsia="Times New Roman"/>
          <w:i/>
          <w:sz w:val="24"/>
        </w:rPr>
        <w:t>p</w:t>
      </w:r>
      <w:r>
        <w:rPr>
          <w:rFonts w:ascii="Times New Roman" w:hAnsi="Times New Roman" w:eastAsia="Times New Roman"/>
          <w:sz w:val="24"/>
        </w:rPr>
        <w:t xml:space="preserve"> &lt; .001. This divergence is theoretically important: extraverts appear to self-report better performance but objective measures reveal weakly negative or null effects. This pattern is consistent with a self-enhancement bias mechanism in extraverted learners and provides novel meta-analytic evidence that the choice of outcome operationalization systematically alters the Extraversion-achievement association. For the other four traits, the outcome type moderator was not significant (all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&gt; .12). The six remaining pre-registered moderators could not be tested quantitatively due to insufficient </w:t>
      </w:r>
      <w:r>
        <w:rPr>
          <w:rFonts w:ascii="Times New Roman" w:hAnsi="Times New Roman" w:eastAsia="Times New Roman"/>
          <w:i/>
          <w:sz w:val="24"/>
        </w:rPr>
        <w:t>k</w:t>
      </w:r>
      <w:r>
        <w:rPr>
          <w:rFonts w:ascii="Times New Roman" w:hAnsi="Times New Roman" w:eastAsia="Times New Roman"/>
          <w:sz w:val="24"/>
        </w:rPr>
        <w:t xml:space="preserve"> per level; the narrative description is provided in Methods.</w:t>
      </w:r>
    </w:p>
    <w:p>
      <w:pPr>
        <w:pStyle w:val="Heading2"/>
        <w:spacing w:line="480" w:lineRule="auto" w:before="0" w:after="0"/>
      </w:pPr>
      <w:r>
        <w:t>Sensitivity Analyses</w:t>
      </w:r>
    </w:p>
    <w:p>
      <w:pPr>
        <w:spacing w:line="480" w:lineRule="auto" w:before="0" w:after="0"/>
        <w:ind w:firstLine="720"/>
      </w:pPr>
      <w:r>
        <w:rPr>
          <w:rFonts w:ascii="Times New Roman" w:hAnsi="Times New Roman" w:eastAsia="Times New Roman"/>
          <w:sz w:val="24"/>
        </w:rPr>
        <w:t xml:space="preserve">Four pre-specified sensitivity analyses were executed and are summarized in Table 4. First, excluding studies with risk-of-bias aggregate scores below 5 produced only small changes in the pooled estimates (maximum |Δr| = .015 for Conscientiousness; pooled C shifted from .167 to .182), indicating that findings were not driven by low-quality studies. Second, excluding the present author's own prior primary study (Tokiwa, 2025) did not change the pooled estimates at all (|Δr| &lt; .001 for every trait), because the author's study did not contribute zero-order correlations to the primary pool. Third, excluding studies whose effect sizes had been Peterson-Brown-converted from </w:t>
      </w:r>
      <w:r>
        <w:rPr>
          <w:rFonts w:ascii="Times New Roman" w:hAnsi="Times New Roman" w:eastAsia="Times New Roman"/>
          <w:i/>
          <w:sz w:val="24"/>
        </w:rPr>
        <w:t>β</w:t>
      </w:r>
      <w:r>
        <w:rPr>
          <w:rFonts w:ascii="Times New Roman" w:hAnsi="Times New Roman" w:eastAsia="Times New Roman"/>
          <w:sz w:val="24"/>
        </w:rPr>
        <w:t xml:space="preserve"> to </w:t>
      </w:r>
      <w:r>
        <w:rPr>
          <w:rFonts w:ascii="Times New Roman" w:hAnsi="Times New Roman" w:eastAsia="Times New Roman"/>
          <w:i/>
          <w:sz w:val="24"/>
        </w:rPr>
        <w:t>r</w:t>
      </w:r>
      <w:r>
        <w:rPr>
          <w:rFonts w:ascii="Times New Roman" w:hAnsi="Times New Roman" w:eastAsia="Times New Roman"/>
          <w:sz w:val="24"/>
        </w:rPr>
        <w:t xml:space="preserve"> produced larger changes, particularly for Neuroticism (pooled </w:t>
      </w:r>
      <w:r>
        <w:rPr>
          <w:rFonts w:ascii="Times New Roman" w:hAnsi="Times New Roman" w:eastAsia="Times New Roman"/>
          <w:i/>
          <w:sz w:val="24"/>
        </w:rPr>
        <w:t>r</w:t>
      </w:r>
      <w:r>
        <w:rPr>
          <w:rFonts w:ascii="Times New Roman" w:hAnsi="Times New Roman" w:eastAsia="Times New Roman"/>
          <w:sz w:val="24"/>
        </w:rPr>
        <w:t xml:space="preserve"> shifted from .018 to −.043, |Δr| = .061) and Openness (|Δr| = .055), both of which moved in the direction predicted by Hypotheses 4 and 2, respectively. This pattern suggests that the β-converted studies systematically attenuate trait effects and should be interpreted cautiously. Fourth, the leave-one-out analysis (Table S3) identified Yu (2021) as the most influential single study for the Agreeableness pool (removal shifted </w:t>
      </w:r>
      <w:r>
        <w:rPr>
          <w:rFonts w:ascii="Times New Roman" w:hAnsi="Times New Roman" w:eastAsia="Times New Roman"/>
          <w:i/>
          <w:sz w:val="24"/>
        </w:rPr>
        <w:t>r</w:t>
      </w:r>
      <w:r>
        <w:rPr>
          <w:rFonts w:ascii="Times New Roman" w:hAnsi="Times New Roman" w:eastAsia="Times New Roman"/>
          <w:sz w:val="24"/>
        </w:rPr>
        <w:t xml:space="preserve"> from .112 to .066) and Rivers (2021) as influential for Extraversion (removal shifted </w:t>
      </w:r>
      <w:r>
        <w:rPr>
          <w:rFonts w:ascii="Times New Roman" w:hAnsi="Times New Roman" w:eastAsia="Times New Roman"/>
          <w:i/>
          <w:sz w:val="24"/>
        </w:rPr>
        <w:t>r</w:t>
      </w:r>
      <w:r>
        <w:rPr>
          <w:rFonts w:ascii="Times New Roman" w:hAnsi="Times New Roman" w:eastAsia="Times New Roman"/>
          <w:sz w:val="24"/>
        </w:rPr>
        <w:t xml:space="preserve"> from .002 to .028), consistent with their roles as the largest objective-outcome sources in those pools.</w:t>
      </w:r>
    </w:p>
    <w:p>
      <w:pPr>
        <w:pStyle w:val="Heading2"/>
        <w:spacing w:line="480" w:lineRule="auto" w:before="0" w:after="0"/>
      </w:pPr>
      <w:r>
        <w:t>Publication Bias Assessment</w:t>
      </w:r>
    </w:p>
    <w:p>
      <w:pPr>
        <w:spacing w:line="480" w:lineRule="auto" w:before="0" w:after="0"/>
        <w:ind w:firstLine="720"/>
      </w:pPr>
      <w:r>
        <w:rPr>
          <w:rFonts w:ascii="Times New Roman" w:hAnsi="Times New Roman" w:eastAsia="Times New Roman"/>
          <w:sz w:val="24"/>
        </w:rPr>
        <w:t xml:space="preserve">Funnel plots for each trait are presented in Figures 7A through 7E. Egger's regression asymmetry test was significant for Openness (intercept = −6.41, SE = 2.63, t(7) = −2.43, </w:t>
      </w:r>
      <w:r>
        <w:rPr>
          <w:rFonts w:ascii="Times New Roman" w:hAnsi="Times New Roman" w:eastAsia="Times New Roman"/>
          <w:i/>
          <w:sz w:val="24"/>
        </w:rPr>
        <w:t>p</w:t>
      </w:r>
      <w:r>
        <w:rPr>
          <w:rFonts w:ascii="Times New Roman" w:hAnsi="Times New Roman" w:eastAsia="Times New Roman"/>
          <w:sz w:val="24"/>
        </w:rPr>
        <w:t xml:space="preserve"> = .045) and approached significance for Agreeableness (intercept = −8.53, SE = 4.03, t(7) = −2.12, </w:t>
      </w:r>
      <w:r>
        <w:rPr>
          <w:rFonts w:ascii="Times New Roman" w:hAnsi="Times New Roman" w:eastAsia="Times New Roman"/>
          <w:i/>
          <w:sz w:val="24"/>
        </w:rPr>
        <w:t>p</w:t>
      </w:r>
      <w:r>
        <w:rPr>
          <w:rFonts w:ascii="Times New Roman" w:hAnsi="Times New Roman" w:eastAsia="Times New Roman"/>
          <w:sz w:val="24"/>
        </w:rPr>
        <w:t xml:space="preserve"> = .072). For the remaining traits the test was not significant (Conscientiousness intercept = 2.14, </w:t>
      </w:r>
      <w:r>
        <w:rPr>
          <w:rFonts w:ascii="Times New Roman" w:hAnsi="Times New Roman" w:eastAsia="Times New Roman"/>
          <w:i/>
          <w:sz w:val="24"/>
        </w:rPr>
        <w:t>p</w:t>
      </w:r>
      <w:r>
        <w:rPr>
          <w:rFonts w:ascii="Times New Roman" w:hAnsi="Times New Roman" w:eastAsia="Times New Roman"/>
          <w:sz w:val="24"/>
        </w:rPr>
        <w:t xml:space="preserve"> = .094; Extraversion intercept = 2.29, </w:t>
      </w:r>
      <w:r>
        <w:rPr>
          <w:rFonts w:ascii="Times New Roman" w:hAnsi="Times New Roman" w:eastAsia="Times New Roman"/>
          <w:i/>
          <w:sz w:val="24"/>
        </w:rPr>
        <w:t>p</w:t>
      </w:r>
      <w:r>
        <w:rPr>
          <w:rFonts w:ascii="Times New Roman" w:hAnsi="Times New Roman" w:eastAsia="Times New Roman"/>
          <w:sz w:val="24"/>
        </w:rPr>
        <w:t xml:space="preserve"> = .255; Neuroticism intercept = −1.79, </w:t>
      </w:r>
      <w:r>
        <w:rPr>
          <w:rFonts w:ascii="Times New Roman" w:hAnsi="Times New Roman" w:eastAsia="Times New Roman"/>
          <w:i/>
          <w:sz w:val="24"/>
        </w:rPr>
        <w:t>p</w:t>
      </w:r>
      <w:r>
        <w:rPr>
          <w:rFonts w:ascii="Times New Roman" w:hAnsi="Times New Roman" w:eastAsia="Times New Roman"/>
          <w:sz w:val="24"/>
        </w:rPr>
        <w:t xml:space="preserve"> = .304). Given the low statistical power of Egger's test with </w:t>
      </w:r>
      <w:r>
        <w:rPr>
          <w:rFonts w:ascii="Times New Roman" w:hAnsi="Times New Roman" w:eastAsia="Times New Roman"/>
          <w:i/>
          <w:sz w:val="24"/>
        </w:rPr>
        <w:t>k</w:t>
      </w:r>
      <w:r>
        <w:rPr>
          <w:rFonts w:ascii="Times New Roman" w:hAnsi="Times New Roman" w:eastAsia="Times New Roman"/>
          <w:sz w:val="24"/>
        </w:rPr>
        <w:t xml:space="preserve"> = 9–10, a non-significant result does not rule out publication bias, particularly for effects for which the direction of asymmetry is consistent with expected small-study positive bias (Conscientiousness).</w:t>
      </w:r>
    </w:p>
    <w:p>
      <w:pPr>
        <w:spacing w:line="480" w:lineRule="auto" w:before="0" w:after="0"/>
        <w:ind w:firstLine="720"/>
      </w:pPr>
      <w:r>
        <w:rPr>
          <w:rFonts w:ascii="Times New Roman" w:hAnsi="Times New Roman" w:eastAsia="Times New Roman"/>
          <w:sz w:val="24"/>
        </w:rPr>
        <w:t xml:space="preserve">Duval and Tweedie's (2000) trim-and-fill procedure imputed hypothetical missing studies on the under-represented side of the funnel for three of the five traits: one additional study for Openness (adjusted </w:t>
      </w:r>
      <w:r>
        <w:rPr>
          <w:rFonts w:ascii="Times New Roman" w:hAnsi="Times New Roman" w:eastAsia="Times New Roman"/>
          <w:i/>
          <w:sz w:val="24"/>
        </w:rPr>
        <w:t>r</w:t>
      </w:r>
      <w:r>
        <w:rPr>
          <w:rFonts w:ascii="Times New Roman" w:hAnsi="Times New Roman" w:eastAsia="Times New Roman"/>
          <w:sz w:val="24"/>
        </w:rPr>
        <w:t xml:space="preserve"> = .107 vs. original </w:t>
      </w:r>
      <w:r>
        <w:rPr>
          <w:rFonts w:ascii="Times New Roman" w:hAnsi="Times New Roman" w:eastAsia="Times New Roman"/>
          <w:i/>
          <w:sz w:val="24"/>
        </w:rPr>
        <w:t>r</w:t>
      </w:r>
      <w:r>
        <w:rPr>
          <w:rFonts w:ascii="Times New Roman" w:hAnsi="Times New Roman" w:eastAsia="Times New Roman"/>
          <w:sz w:val="24"/>
        </w:rPr>
        <w:t xml:space="preserve"> = .086), two for Extraversion (adjusted </w:t>
      </w:r>
      <w:r>
        <w:rPr>
          <w:rFonts w:ascii="Times New Roman" w:hAnsi="Times New Roman" w:eastAsia="Times New Roman"/>
          <w:i/>
          <w:sz w:val="24"/>
        </w:rPr>
        <w:t>r</w:t>
      </w:r>
      <w:r>
        <w:rPr>
          <w:rFonts w:ascii="Times New Roman" w:hAnsi="Times New Roman" w:eastAsia="Times New Roman"/>
          <w:sz w:val="24"/>
        </w:rPr>
        <w:t xml:space="preserve"> = −.036 vs. original </w:t>
      </w:r>
      <w:r>
        <w:rPr>
          <w:rFonts w:ascii="Times New Roman" w:hAnsi="Times New Roman" w:eastAsia="Times New Roman"/>
          <w:i/>
          <w:sz w:val="24"/>
        </w:rPr>
        <w:t>r</w:t>
      </w:r>
      <w:r>
        <w:rPr>
          <w:rFonts w:ascii="Times New Roman" w:hAnsi="Times New Roman" w:eastAsia="Times New Roman"/>
          <w:sz w:val="24"/>
        </w:rPr>
        <w:t xml:space="preserve"> = .002), and zero for Conscientiousness, Agreeableness, and Neuroticism. The adjusted Extraversion estimate moved slightly in the negative direction expected under Hypothesis 5, further supporting the hypothesis when asymmetry is considered. Trim-and-fill adjusted estimates are reported as a sensitivity check only and do not replace the primary pooled estimates. Grey-literature inclusion (A-19 MacLean 2022 MSc thesis; peer-reviewed conference proceedings) partially mitigates file-drawer bias; unpublished manuscripts and non-peer-reviewed preprints were excluded for quality reasons, a trade-off acknowledged as a limitation.</w:t>
      </w:r>
    </w:p>
    <w:p>
      <w:pPr>
        <w:pStyle w:val="Heading2"/>
        <w:spacing w:line="480" w:lineRule="auto" w:before="0" w:after="0"/>
      </w:pPr>
      <w:r>
        <w:t>GRADE Summary of Findings</w:t>
      </w:r>
    </w:p>
    <w:p>
      <w:pPr>
        <w:spacing w:line="480" w:lineRule="auto" w:before="0" w:after="0"/>
        <w:ind w:firstLine="720"/>
      </w:pPr>
      <w:r>
        <w:rPr>
          <w:rFonts w:ascii="Times New Roman" w:hAnsi="Times New Roman" w:eastAsia="Times New Roman"/>
          <w:sz w:val="24"/>
        </w:rPr>
        <w:t>The GRADE confidence rating for each Big Five trait is presented in Table 5 (Summary of Findings). Confidence in the pooled Conscientiousness–achievement association was rated as Moderate, reflecting adequate risk-of-bias across contributing studies (mean JBI = 6.0), moderate inconsistency (</w:t>
      </w:r>
      <w:r>
        <w:rPr>
          <w:rFonts w:ascii="Times New Roman" w:hAnsi="Times New Roman" w:eastAsia="Times New Roman"/>
          <w:i/>
          <w:sz w:val="24"/>
        </w:rPr>
        <w:t>I²</w:t>
      </w:r>
      <w:r>
        <w:rPr>
          <w:rFonts w:ascii="Times New Roman" w:hAnsi="Times New Roman" w:eastAsia="Times New Roman"/>
          <w:sz w:val="24"/>
        </w:rPr>
        <w:t xml:space="preserve"> = 65.1% with a PI that just crosses zero), direct relevance to the review question, adequate precision (CI width = .15 &lt; 2 × MOI of .10), and borderline publication-bias signal (Egger </w:t>
      </w:r>
      <w:r>
        <w:rPr>
          <w:rFonts w:ascii="Times New Roman" w:hAnsi="Times New Roman" w:eastAsia="Times New Roman"/>
          <w:i/>
          <w:sz w:val="24"/>
        </w:rPr>
        <w:t>p</w:t>
      </w:r>
      <w:r>
        <w:rPr>
          <w:rFonts w:ascii="Times New Roman" w:hAnsi="Times New Roman" w:eastAsia="Times New Roman"/>
          <w:sz w:val="24"/>
        </w:rPr>
        <w:t xml:space="preserve"> = .094). Confidence in the pooled Openness estimate was rated Low due to very high inconsistency (</w:t>
      </w:r>
      <w:r>
        <w:rPr>
          <w:rFonts w:ascii="Times New Roman" w:hAnsi="Times New Roman" w:eastAsia="Times New Roman"/>
          <w:i/>
          <w:sz w:val="24"/>
        </w:rPr>
        <w:t>I²</w:t>
      </w:r>
      <w:r>
        <w:rPr>
          <w:rFonts w:ascii="Times New Roman" w:hAnsi="Times New Roman" w:eastAsia="Times New Roman"/>
          <w:sz w:val="24"/>
        </w:rPr>
        <w:t xml:space="preserve"> = 92.0%), wide imprecision (CI = [−.044, .214]), and significant Egger asymmetry (</w:t>
      </w:r>
      <w:r>
        <w:rPr>
          <w:rFonts w:ascii="Times New Roman" w:hAnsi="Times New Roman" w:eastAsia="Times New Roman"/>
          <w:i/>
          <w:sz w:val="24"/>
        </w:rPr>
        <w:t>p</w:t>
      </w:r>
      <w:r>
        <w:rPr>
          <w:rFonts w:ascii="Times New Roman" w:hAnsi="Times New Roman" w:eastAsia="Times New Roman"/>
          <w:sz w:val="24"/>
        </w:rPr>
        <w:t xml:space="preserve"> = .045). Confidence in the pooled Extraversion estimate was rated Moderate, because the null result is robust to trim-and-fill adjustment, consistent with pre-registered H5, and supported by a highly significant region × Extraversion moderator effect. Confidence in the pooled Agreeableness estimate was rated Low, reflecting the extreme </w:t>
      </w:r>
      <w:r>
        <w:rPr>
          <w:rFonts w:ascii="Times New Roman" w:hAnsi="Times New Roman" w:eastAsia="Times New Roman"/>
          <w:i/>
          <w:sz w:val="24"/>
        </w:rPr>
        <w:t>I²</w:t>
      </w:r>
      <w:r>
        <w:rPr>
          <w:rFonts w:ascii="Times New Roman" w:hAnsi="Times New Roman" w:eastAsia="Times New Roman"/>
          <w:sz w:val="24"/>
        </w:rPr>
        <w:t xml:space="preserve"> (96.2%) and trend-level Egger asymmetry (</w:t>
      </w:r>
      <w:r>
        <w:rPr>
          <w:rFonts w:ascii="Times New Roman" w:hAnsi="Times New Roman" w:eastAsia="Times New Roman"/>
          <w:i/>
          <w:sz w:val="24"/>
        </w:rPr>
        <w:t>p</w:t>
      </w:r>
      <w:r>
        <w:rPr>
          <w:rFonts w:ascii="Times New Roman" w:hAnsi="Times New Roman" w:eastAsia="Times New Roman"/>
          <w:sz w:val="24"/>
        </w:rPr>
        <w:t xml:space="preserve"> = .072). Confidence in the pooled Neuroticism estimate was rated Low, reflecting moderate-to-high inconsistency (</w:t>
      </w:r>
      <w:r>
        <w:rPr>
          <w:rFonts w:ascii="Times New Roman" w:hAnsi="Times New Roman" w:eastAsia="Times New Roman"/>
          <w:i/>
          <w:sz w:val="24"/>
        </w:rPr>
        <w:t>I²</w:t>
      </w:r>
      <w:r>
        <w:rPr>
          <w:rFonts w:ascii="Times New Roman" w:hAnsi="Times New Roman" w:eastAsia="Times New Roman"/>
          <w:sz w:val="24"/>
        </w:rPr>
        <w:t xml:space="preserve"> = 79.0%) and a null point estimate with wide intervals. No trait reached the threshold for an upgrade based on large magnitude (|pooled r| ≥ .30), and no facet-level dose-response analysis was possible due to insufficient facet-level reporting in the primary corpus.</w:t>
      </w:r>
    </w:p>
    <w:p>
      <w:pPr>
        <w:pStyle w:val="Heading1"/>
        <w:spacing w:line="480" w:lineRule="auto" w:before="0" w:after="0"/>
      </w:pPr>
      <w:r>
        <w:t>Discussion</w:t>
      </w:r>
    </w:p>
    <w:p>
      <w:pPr>
        <w:pStyle w:val="Heading2"/>
        <w:spacing w:line="480" w:lineRule="auto" w:before="0" w:after="0"/>
      </w:pPr>
      <w:r>
        <w:t>Summary of Findings</w:t>
      </w:r>
    </w:p>
    <w:p>
      <w:pPr>
        <w:spacing w:line="480" w:lineRule="auto" w:before="0" w:after="0"/>
        <w:ind w:firstLine="720"/>
      </w:pPr>
      <w:r>
        <w:rPr>
          <w:rFonts w:ascii="Times New Roman" w:hAnsi="Times New Roman" w:eastAsia="Times New Roman"/>
          <w:sz w:val="24"/>
        </w:rPr>
        <w:t xml:space="preserve">The present systematic review and meta-analysis provides the first quantitative synthesis of the association between Big Five personality traits and academic achievement in online learning environments. Across 31 catalogued primary studies — 25 retained for qualitative synthesis, of which 10 contributed direct Pearson correlations to the primary achievement pool (total pooled </w:t>
      </w:r>
      <w:r>
        <w:rPr>
          <w:rFonts w:ascii="Times New Roman" w:hAnsi="Times New Roman" w:eastAsia="Times New Roman"/>
          <w:i/>
          <w:sz w:val="24"/>
        </w:rPr>
        <w:t>N</w:t>
      </w:r>
      <w:r>
        <w:rPr>
          <w:rFonts w:ascii="Times New Roman" w:hAnsi="Times New Roman" w:eastAsia="Times New Roman"/>
          <w:sz w:val="24"/>
        </w:rPr>
        <w:t xml:space="preserve"> = 3,384), the pooled correlation between Conscientiousness and online academic achievement was </w:t>
      </w:r>
      <w:r>
        <w:rPr>
          <w:rFonts w:ascii="Times New Roman" w:hAnsi="Times New Roman" w:eastAsia="Times New Roman"/>
          <w:i/>
          <w:sz w:val="24"/>
        </w:rPr>
        <w:t>r</w:t>
      </w:r>
      <w:r>
        <w:rPr>
          <w:rFonts w:ascii="Times New Roman" w:hAnsi="Times New Roman" w:eastAsia="Times New Roman"/>
          <w:sz w:val="24"/>
        </w:rPr>
        <w:t xml:space="preserve"> = .167 (95% CI [.089, .243]). Comparable estimates were obtained for Openness (</w:t>
      </w:r>
      <w:r>
        <w:rPr>
          <w:rFonts w:ascii="Times New Roman" w:hAnsi="Times New Roman" w:eastAsia="Times New Roman"/>
          <w:i/>
          <w:sz w:val="24"/>
        </w:rPr>
        <w:t>r</w:t>
      </w:r>
      <w:r>
        <w:rPr>
          <w:rFonts w:ascii="Times New Roman" w:hAnsi="Times New Roman" w:eastAsia="Times New Roman"/>
          <w:sz w:val="24"/>
        </w:rPr>
        <w:t xml:space="preserve"> = .086 [−.044, .214]), Agreeableness (</w:t>
      </w:r>
      <w:r>
        <w:rPr>
          <w:rFonts w:ascii="Times New Roman" w:hAnsi="Times New Roman" w:eastAsia="Times New Roman"/>
          <w:i/>
          <w:sz w:val="24"/>
        </w:rPr>
        <w:t>r</w:t>
      </w:r>
      <w:r>
        <w:rPr>
          <w:rFonts w:ascii="Times New Roman" w:hAnsi="Times New Roman" w:eastAsia="Times New Roman"/>
          <w:sz w:val="24"/>
        </w:rPr>
        <w:t xml:space="preserve"> = .112 [−.031, .250]), Neuroticism (</w:t>
      </w:r>
      <w:r>
        <w:rPr>
          <w:rFonts w:ascii="Times New Roman" w:hAnsi="Times New Roman" w:eastAsia="Times New Roman"/>
          <w:i/>
          <w:sz w:val="24"/>
        </w:rPr>
        <w:t>r</w:t>
      </w:r>
      <w:r>
        <w:rPr>
          <w:rFonts w:ascii="Times New Roman" w:hAnsi="Times New Roman" w:eastAsia="Times New Roman"/>
          <w:sz w:val="24"/>
        </w:rPr>
        <w:t xml:space="preserve"> = .018 [−.079, .114]), and Extraversion (</w:t>
      </w:r>
      <w:r>
        <w:rPr>
          <w:rFonts w:ascii="Times New Roman" w:hAnsi="Times New Roman" w:eastAsia="Times New Roman"/>
          <w:i/>
          <w:sz w:val="24"/>
        </w:rPr>
        <w:t>r</w:t>
      </w:r>
      <w:r>
        <w:rPr>
          <w:rFonts w:ascii="Times New Roman" w:hAnsi="Times New Roman" w:eastAsia="Times New Roman"/>
          <w:sz w:val="24"/>
        </w:rPr>
        <w:t xml:space="preserve"> = .002 [−.076, .080]). The pattern of pooled effects was partially consistent with established face-to-face benchmarks—Conscientiousness emerged as the strongest positive predictor, and Extraversion as null—but diverged in two important respects: the Conscientiousness magnitude was somewhat lower than face-to-face </w:t>
      </w:r>
      <w:r>
        <w:rPr>
          <w:rFonts w:ascii="Times New Roman" w:hAnsi="Times New Roman" w:eastAsia="Times New Roman"/>
          <w:i/>
          <w:sz w:val="24"/>
        </w:rPr>
        <w:t>ρ</w:t>
      </w:r>
      <w:r>
        <w:rPr>
          <w:rFonts w:ascii="Times New Roman" w:hAnsi="Times New Roman" w:eastAsia="Times New Roman"/>
          <w:sz w:val="24"/>
        </w:rPr>
        <w:t xml:space="preserve"> of .20–.28, and Agreeableness showed a slightly larger effect than in face-to-face samples, driven by Chinese and Middle Eastern studies. Two pre-registered moderator effects were highly significant: Extraversion × Region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with Asian samples showing </w:t>
      </w:r>
      <w:r>
        <w:rPr>
          <w:rFonts w:ascii="Times New Roman" w:hAnsi="Times New Roman" w:eastAsia="Times New Roman"/>
          <w:i/>
          <w:sz w:val="24"/>
        </w:rPr>
        <w:t>r</w:t>
      </w:r>
      <w:r>
        <w:rPr>
          <w:rFonts w:ascii="Times New Roman" w:hAnsi="Times New Roman" w:eastAsia="Times New Roman"/>
          <w:sz w:val="24"/>
        </w:rPr>
        <w:t xml:space="preserve"> = −.131 vs. non-Asian </w:t>
      </w:r>
      <w:r>
        <w:rPr>
          <w:rFonts w:ascii="Times New Roman" w:hAnsi="Times New Roman" w:eastAsia="Times New Roman"/>
          <w:i/>
          <w:sz w:val="24"/>
        </w:rPr>
        <w:t>r</w:t>
      </w:r>
      <w:r>
        <w:rPr>
          <w:rFonts w:ascii="Times New Roman" w:hAnsi="Times New Roman" w:eastAsia="Times New Roman"/>
          <w:sz w:val="24"/>
        </w:rPr>
        <w:t xml:space="preserve"> = .050, and Extraversion × Outcome Type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with objective outcomes showing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w:t>
      </w:r>
    </w:p>
    <w:p>
      <w:pPr>
        <w:pStyle w:val="Heading2"/>
        <w:spacing w:line="480" w:lineRule="auto" w:before="0" w:after="0"/>
      </w:pPr>
      <w:r>
        <w:t>Evaluation of Pre-registered Hypotheses</w:t>
      </w:r>
    </w:p>
    <w:p>
      <w:pPr>
        <w:spacing w:line="480" w:lineRule="auto" w:before="0" w:after="0"/>
        <w:ind w:firstLine="720"/>
      </w:pPr>
      <w:r>
        <w:rPr>
          <w:rFonts w:ascii="Times New Roman" w:hAnsi="Times New Roman" w:eastAsia="Times New Roman"/>
          <w:sz w:val="24"/>
        </w:rPr>
        <w:t xml:space="preserve">Hypothesis 1 (Conscientiousness as strongest positive predictor). The pooled Conscientiousness–achievement correlation of </w:t>
      </w:r>
      <w:r>
        <w:rPr>
          <w:rFonts w:ascii="Times New Roman" w:hAnsi="Times New Roman" w:eastAsia="Times New Roman"/>
          <w:i/>
          <w:sz w:val="24"/>
        </w:rPr>
        <w:t>r</w:t>
      </w:r>
      <w:r>
        <w:rPr>
          <w:rFonts w:ascii="Times New Roman" w:hAnsi="Times New Roman" w:eastAsia="Times New Roman"/>
          <w:sz w:val="24"/>
        </w:rPr>
        <w:t xml:space="preserve"> = .167 fell slightly below the pre-specified range of .20–.35, with the 95% confidence interval extending to .243 and thus overlapping the lower bound of the range. Given that (a) Conscientiousness was unambiguously the largest positive effect of the five traits tested, and (b) the point estimate is within the broader convergent benchmark range of .19–.28 documented across eight prior meta-analyses, H1 is judged partially supported. The magnitude of the C effect in online environments was slightly smaller than face-to-face benchmarks reported by Poropat (2009; </w:t>
      </w:r>
      <w:r>
        <w:rPr>
          <w:rFonts w:ascii="Times New Roman" w:hAnsi="Times New Roman" w:eastAsia="Times New Roman"/>
          <w:i/>
          <w:sz w:val="24"/>
        </w:rPr>
        <w:t>ρ</w:t>
      </w:r>
      <w:r>
        <w:rPr>
          <w:rFonts w:ascii="Times New Roman" w:hAnsi="Times New Roman" w:eastAsia="Times New Roman"/>
          <w:sz w:val="24"/>
        </w:rPr>
        <w:t xml:space="preserve"> = .22), McAbee and Oswald (2013; </w:t>
      </w:r>
      <w:r>
        <w:rPr>
          <w:rFonts w:ascii="Times New Roman" w:hAnsi="Times New Roman" w:eastAsia="Times New Roman"/>
          <w:i/>
          <w:sz w:val="24"/>
        </w:rPr>
        <w:t>ρ</w:t>
      </w:r>
      <w:r>
        <w:rPr>
          <w:rFonts w:ascii="Times New Roman" w:hAnsi="Times New Roman" w:eastAsia="Times New Roman"/>
          <w:sz w:val="24"/>
        </w:rPr>
        <w:t xml:space="preserve"> = .26), Vedel (2014; </w:t>
      </w:r>
      <w:r>
        <w:rPr>
          <w:rFonts w:ascii="Times New Roman" w:hAnsi="Times New Roman" w:eastAsia="Times New Roman"/>
          <w:i/>
          <w:sz w:val="24"/>
        </w:rPr>
        <w:t>ρ</w:t>
      </w:r>
      <w:r>
        <w:rPr>
          <w:rFonts w:ascii="Times New Roman" w:hAnsi="Times New Roman" w:eastAsia="Times New Roman"/>
          <w:sz w:val="24"/>
        </w:rPr>
        <w:t xml:space="preserve"> = .26), Mammadov (2022; </w:t>
      </w:r>
      <w:r>
        <w:rPr>
          <w:rFonts w:ascii="Times New Roman" w:hAnsi="Times New Roman" w:eastAsia="Times New Roman"/>
          <w:i/>
          <w:sz w:val="24"/>
        </w:rPr>
        <w:t>ρ</w:t>
      </w:r>
      <w:r>
        <w:rPr>
          <w:rFonts w:ascii="Times New Roman" w:hAnsi="Times New Roman" w:eastAsia="Times New Roman"/>
          <w:sz w:val="24"/>
        </w:rPr>
        <w:t xml:space="preserve"> = .27), and Chen et al. (2025; </w:t>
      </w:r>
      <w:r>
        <w:rPr>
          <w:rFonts w:ascii="Times New Roman" w:hAnsi="Times New Roman" w:eastAsia="Times New Roman"/>
          <w:i/>
          <w:sz w:val="24"/>
        </w:rPr>
        <w:t>r</w:t>
      </w:r>
      <w:r>
        <w:rPr>
          <w:rFonts w:ascii="Times New Roman" w:hAnsi="Times New Roman" w:eastAsia="Times New Roman"/>
          <w:sz w:val="24"/>
        </w:rPr>
        <w:t xml:space="preserve"> = .206), a pattern consistent with the theoretical prediction that online auto-grading reduces the teacher-observation pathway through which Conscientiousness is channeled into grades (see Theoretical Implications below).</w:t>
      </w:r>
    </w:p>
    <w:p>
      <w:pPr>
        <w:spacing w:line="480" w:lineRule="auto" w:before="0" w:after="0"/>
        <w:ind w:firstLine="720"/>
      </w:pPr>
      <w:r>
        <w:rPr>
          <w:rFonts w:ascii="Times New Roman" w:hAnsi="Times New Roman" w:eastAsia="Times New Roman"/>
          <w:sz w:val="24"/>
        </w:rPr>
        <w:t>Hypothesis 2 (Openness as second-strongest positive predictor). The pooled Openness–achievement correlation (</w:t>
      </w:r>
      <w:r>
        <w:rPr>
          <w:rFonts w:ascii="Times New Roman" w:hAnsi="Times New Roman" w:eastAsia="Times New Roman"/>
          <w:i/>
          <w:sz w:val="24"/>
        </w:rPr>
        <w:t>r</w:t>
      </w:r>
      <w:r>
        <w:rPr>
          <w:rFonts w:ascii="Times New Roman" w:hAnsi="Times New Roman" w:eastAsia="Times New Roman"/>
          <w:sz w:val="24"/>
        </w:rPr>
        <w:t xml:space="preserve"> = .086) was the third-largest positive effect in the present synthesis, surpassed by both Conscientiousness (</w:t>
      </w:r>
      <w:r>
        <w:rPr>
          <w:rFonts w:ascii="Times New Roman" w:hAnsi="Times New Roman" w:eastAsia="Times New Roman"/>
          <w:i/>
          <w:sz w:val="24"/>
        </w:rPr>
        <w:t>r</w:t>
      </w:r>
      <w:r>
        <w:rPr>
          <w:rFonts w:ascii="Times New Roman" w:hAnsi="Times New Roman" w:eastAsia="Times New Roman"/>
          <w:sz w:val="24"/>
        </w:rPr>
        <w:t xml:space="preserve"> = .167) and Agreeableness (</w:t>
      </w:r>
      <w:r>
        <w:rPr>
          <w:rFonts w:ascii="Times New Roman" w:hAnsi="Times New Roman" w:eastAsia="Times New Roman"/>
          <w:i/>
          <w:sz w:val="24"/>
        </w:rPr>
        <w:t>r</w:t>
      </w:r>
      <w:r>
        <w:rPr>
          <w:rFonts w:ascii="Times New Roman" w:hAnsi="Times New Roman" w:eastAsia="Times New Roman"/>
          <w:sz w:val="24"/>
        </w:rPr>
        <w:t xml:space="preserve"> = .112). The 95% confidence interval crossed zero, and the estimate was comparable to the face-to-face benchmark of Mammadov (2022; </w:t>
      </w:r>
      <w:r>
        <w:rPr>
          <w:rFonts w:ascii="Times New Roman" w:hAnsi="Times New Roman" w:eastAsia="Times New Roman"/>
          <w:i/>
          <w:sz w:val="24"/>
        </w:rPr>
        <w:t>ρ</w:t>
      </w:r>
      <w:r>
        <w:rPr>
          <w:rFonts w:ascii="Times New Roman" w:hAnsi="Times New Roman" w:eastAsia="Times New Roman"/>
          <w:sz w:val="24"/>
        </w:rPr>
        <w:t xml:space="preserve"> = .16) but substantially below the K-12 estimate of Meyer et al. (2023; </w:t>
      </w:r>
      <w:r>
        <w:rPr>
          <w:rFonts w:ascii="Times New Roman" w:hAnsi="Times New Roman" w:eastAsia="Times New Roman"/>
          <w:i/>
          <w:sz w:val="24"/>
        </w:rPr>
        <w:t>ρ</w:t>
      </w:r>
      <w:r>
        <w:rPr>
          <w:rFonts w:ascii="Times New Roman" w:hAnsi="Times New Roman" w:eastAsia="Times New Roman"/>
          <w:sz w:val="24"/>
        </w:rPr>
        <w:t xml:space="preserve"> = .21). H2 is not supported. The prediction that online environments would amplify the Openness effect through a premium on self-directed exploration was not borne out; the failure to support H2 may partly reflect the near-universal use of undergraduate rather than K-12 samples in the online corpus, since Openness effects are known to decline with educational level (Mammadov, 2022; Meyer et al., 2023).</w:t>
      </w:r>
    </w:p>
    <w:p>
      <w:pPr>
        <w:spacing w:line="480" w:lineRule="auto" w:before="0" w:after="0"/>
        <w:ind w:firstLine="720"/>
      </w:pPr>
      <w:r>
        <w:rPr>
          <w:rFonts w:ascii="Times New Roman" w:hAnsi="Times New Roman" w:eastAsia="Times New Roman"/>
          <w:sz w:val="24"/>
        </w:rPr>
        <w:t xml:space="preserve">Hypothesis 3 (Agreeableness as small positive effect, weaker than FtF). The pooled Agreeableness–achievement correlation was </w:t>
      </w:r>
      <w:r>
        <w:rPr>
          <w:rFonts w:ascii="Times New Roman" w:hAnsi="Times New Roman" w:eastAsia="Times New Roman"/>
          <w:i/>
          <w:sz w:val="24"/>
        </w:rPr>
        <w:t>r</w:t>
      </w:r>
      <w:r>
        <w:rPr>
          <w:rFonts w:ascii="Times New Roman" w:hAnsi="Times New Roman" w:eastAsia="Times New Roman"/>
          <w:sz w:val="24"/>
        </w:rPr>
        <w:t xml:space="preserve"> = .112, slightly larger than the face-to-face benchmark range of .05–.10 (Poropat, 2009; Vedel, 2014; Chen et al., 2025). H3, which predicted a weaker rather than stronger effect, is therefore not supported. Examination of the primary corpus suggests that the pooled estimate is driven largely by Chinese undergraduate samples (A-28 Yu, 2021, converted </w:t>
      </w:r>
      <w:r>
        <w:rPr>
          <w:rFonts w:ascii="Times New Roman" w:hAnsi="Times New Roman" w:eastAsia="Times New Roman"/>
          <w:i/>
          <w:sz w:val="24"/>
        </w:rPr>
        <w:t>β</w:t>
      </w:r>
      <w:r>
        <w:rPr>
          <w:rFonts w:ascii="Times New Roman" w:hAnsi="Times New Roman" w:eastAsia="Times New Roman"/>
          <w:sz w:val="24"/>
        </w:rPr>
        <w:t xml:space="preserve"> = .442; A-26 Wang et al., 2023, </w:t>
      </w:r>
      <w:r>
        <w:rPr>
          <w:rFonts w:ascii="Times New Roman" w:hAnsi="Times New Roman" w:eastAsia="Times New Roman"/>
          <w:i/>
          <w:sz w:val="24"/>
        </w:rPr>
        <w:t>β</w:t>
      </w:r>
      <w:r>
        <w:rPr>
          <w:rFonts w:ascii="Times New Roman" w:hAnsi="Times New Roman" w:eastAsia="Times New Roman"/>
          <w:sz w:val="24"/>
        </w:rPr>
        <w:t xml:space="preserve"> to engagement = .112) and by Israeli samples (A-12 Baruth &amp; Cohen, 2023, </w:t>
      </w:r>
      <w:r>
        <w:rPr>
          <w:rFonts w:ascii="Times New Roman" w:hAnsi="Times New Roman" w:eastAsia="Times New Roman"/>
          <w:i/>
          <w:sz w:val="24"/>
        </w:rPr>
        <w:t>ρ</w:t>
      </w:r>
      <w:r>
        <w:rPr>
          <w:rFonts w:ascii="Times New Roman" w:hAnsi="Times New Roman" w:eastAsia="Times New Roman"/>
          <w:sz w:val="24"/>
        </w:rPr>
        <w:t xml:space="preserve"> = .458 with satisfaction). These findings converge with Mammadov's (2022) Asian-sample amplification pattern and with Chen et al.'s (2025) cultural-moderation findings. The region moderator analysis (Asia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was directionally consistent with this interpretation but did not reach statistical significance (</w:t>
      </w:r>
      <w:r>
        <w:rPr>
          <w:rFonts w:ascii="Times New Roman" w:hAnsi="Times New Roman" w:eastAsia="Times New Roman"/>
          <w:i/>
          <w:sz w:val="24"/>
        </w:rPr>
        <w:t>Q_between</w:t>
      </w:r>
      <w:r>
        <w:rPr>
          <w:rFonts w:ascii="Times New Roman" w:hAnsi="Times New Roman" w:eastAsia="Times New Roman"/>
          <w:sz w:val="24"/>
        </w:rPr>
        <w:t xml:space="preserve"> = 2.17, </w:t>
      </w:r>
      <w:r>
        <w:rPr>
          <w:rFonts w:ascii="Times New Roman" w:hAnsi="Times New Roman" w:eastAsia="Times New Roman"/>
          <w:i/>
          <w:sz w:val="24"/>
        </w:rPr>
        <w:t>p</w:t>
      </w:r>
      <w:r>
        <w:rPr>
          <w:rFonts w:ascii="Times New Roman" w:hAnsi="Times New Roman" w:eastAsia="Times New Roman"/>
          <w:sz w:val="24"/>
        </w:rPr>
        <w:t xml:space="preserve"> = .140), owing to the small Asian subsample (</w:t>
      </w:r>
      <w:r>
        <w:rPr>
          <w:rFonts w:ascii="Times New Roman" w:hAnsi="Times New Roman" w:eastAsia="Times New Roman"/>
          <w:i/>
          <w:sz w:val="24"/>
        </w:rPr>
        <w:t>k</w:t>
      </w:r>
      <w:r>
        <w:rPr>
          <w:rFonts w:ascii="Times New Roman" w:hAnsi="Times New Roman" w:eastAsia="Times New Roman"/>
          <w:sz w:val="24"/>
        </w:rPr>
        <w:t xml:space="preserve"> = 2).</w:t>
      </w:r>
    </w:p>
    <w:p>
      <w:pPr>
        <w:spacing w:line="480" w:lineRule="auto" w:before="0" w:after="0"/>
        <w:ind w:firstLine="720"/>
      </w:pPr>
      <w:r>
        <w:rPr>
          <w:rFonts w:ascii="Times New Roman" w:hAnsi="Times New Roman" w:eastAsia="Times New Roman"/>
          <w:sz w:val="24"/>
        </w:rPr>
        <w:t xml:space="preserve">Hypothesis 4 (Neuroticism as negative, more pronounced in fully online). The pooled Neuroticism–achievement correlation was </w:t>
      </w:r>
      <w:r>
        <w:rPr>
          <w:rFonts w:ascii="Times New Roman" w:hAnsi="Times New Roman" w:eastAsia="Times New Roman"/>
          <w:i/>
          <w:sz w:val="24"/>
        </w:rPr>
        <w:t>r</w:t>
      </w:r>
      <w:r>
        <w:rPr>
          <w:rFonts w:ascii="Times New Roman" w:hAnsi="Times New Roman" w:eastAsia="Times New Roman"/>
          <w:sz w:val="24"/>
        </w:rPr>
        <w:t xml:space="preserve"> = .018, approximately null. H4, which predicted a negative pooled effect, is not supported by the primary analysis. Notably, the β-excluded sensitivity analysis (restricting the pool to studies with direct Pearson </w:t>
      </w:r>
      <w:r>
        <w:rPr>
          <w:rFonts w:ascii="Times New Roman" w:hAnsi="Times New Roman" w:eastAsia="Times New Roman"/>
          <w:i/>
          <w:sz w:val="24"/>
        </w:rPr>
        <w:t>r</w:t>
      </w:r>
      <w:r>
        <w:rPr>
          <w:rFonts w:ascii="Times New Roman" w:hAnsi="Times New Roman" w:eastAsia="Times New Roman"/>
          <w:sz w:val="24"/>
        </w:rPr>
        <w:t xml:space="preserve">) shifted the pooled Neuroticism estimate to </w:t>
      </w:r>
      <w:r>
        <w:rPr>
          <w:rFonts w:ascii="Times New Roman" w:hAnsi="Times New Roman" w:eastAsia="Times New Roman"/>
          <w:i/>
          <w:sz w:val="24"/>
        </w:rPr>
        <w:t>r</w:t>
      </w:r>
      <w:r>
        <w:rPr>
          <w:rFonts w:ascii="Times New Roman" w:hAnsi="Times New Roman" w:eastAsia="Times New Roman"/>
          <w:sz w:val="24"/>
        </w:rPr>
        <w:t xml:space="preserve"> = −.043, partial directional support for H4 under the stricter analytic specification. The discrepancy between the primary and sensitivity analyses suggests that Peterson-Brown-converted </w:t>
      </w:r>
      <w:r>
        <w:rPr>
          <w:rFonts w:ascii="Times New Roman" w:hAnsi="Times New Roman" w:eastAsia="Times New Roman"/>
          <w:i/>
          <w:sz w:val="24"/>
        </w:rPr>
        <w:t>β</w:t>
      </w:r>
      <w:r>
        <w:rPr>
          <w:rFonts w:ascii="Times New Roman" w:hAnsi="Times New Roman" w:eastAsia="Times New Roman"/>
          <w:sz w:val="24"/>
        </w:rPr>
        <w:t xml:space="preserve"> studies (principally Yu, 2021 and Kaspar et al., 2023) systematically attenuate the Neuroticism effect, potentially because these studies control for multiple covariates in the </w:t>
      </w:r>
      <w:r>
        <w:rPr>
          <w:rFonts w:ascii="Times New Roman" w:hAnsi="Times New Roman" w:eastAsia="Times New Roman"/>
          <w:i/>
          <w:sz w:val="24"/>
        </w:rPr>
        <w:t>β</w:t>
      </w:r>
      <w:r>
        <w:rPr>
          <w:rFonts w:ascii="Times New Roman" w:hAnsi="Times New Roman" w:eastAsia="Times New Roman"/>
          <w:sz w:val="24"/>
        </w:rPr>
        <w:t xml:space="preserve"> coefficients, diluting the zero-order Neuroticism-outcome association.</w:t>
      </w:r>
    </w:p>
    <w:p>
      <w:pPr>
        <w:spacing w:line="480" w:lineRule="auto" w:before="0" w:after="0"/>
        <w:ind w:firstLine="720"/>
      </w:pPr>
      <w:r>
        <w:rPr>
          <w:rFonts w:ascii="Times New Roman" w:hAnsi="Times New Roman" w:eastAsia="Times New Roman"/>
          <w:sz w:val="24"/>
        </w:rPr>
        <w:t xml:space="preserve">Hypothesis 5 (Extraversion as null or weak negative). The pooled Extraversion–achievement correlation was </w:t>
      </w:r>
      <w:r>
        <w:rPr>
          <w:rFonts w:ascii="Times New Roman" w:hAnsi="Times New Roman" w:eastAsia="Times New Roman"/>
          <w:i/>
          <w:sz w:val="24"/>
        </w:rPr>
        <w:t>r</w:t>
      </w:r>
      <w:r>
        <w:rPr>
          <w:rFonts w:ascii="Times New Roman" w:hAnsi="Times New Roman" w:eastAsia="Times New Roman"/>
          <w:sz w:val="24"/>
        </w:rPr>
        <w:t xml:space="preserve"> = .002, consistent with H5's prediction of a null effect. H5 is supported. Moreover, two moderator analyses revealed systematic conditions under which Extraversion shifts in the negative direction predicted by H5's facet-level cancellation mechanism: in Asian samples the pooled effect was </w:t>
      </w:r>
      <w:r>
        <w:rPr>
          <w:rFonts w:ascii="Times New Roman" w:hAnsi="Times New Roman" w:eastAsia="Times New Roman"/>
          <w:i/>
          <w:sz w:val="24"/>
        </w:rPr>
        <w:t>r</w:t>
      </w:r>
      <w:r>
        <w:rPr>
          <w:rFonts w:ascii="Times New Roman" w:hAnsi="Times New Roman" w:eastAsia="Times New Roman"/>
          <w:sz w:val="24"/>
        </w:rPr>
        <w:t xml:space="preserve"> = −.131 (95% CI [−.314, .061]; </w:t>
      </w:r>
      <w:r>
        <w:rPr>
          <w:rFonts w:ascii="Times New Roman" w:hAnsi="Times New Roman" w:eastAsia="Times New Roman"/>
          <w:i/>
          <w:sz w:val="24"/>
        </w:rPr>
        <w:t>Q_between</w:t>
      </w:r>
      <w:r>
        <w:rPr>
          <w:rFonts w:ascii="Times New Roman" w:hAnsi="Times New Roman" w:eastAsia="Times New Roman"/>
          <w:sz w:val="24"/>
        </w:rPr>
        <w:t xml:space="preserve"> = 46.43, </w:t>
      </w:r>
      <w:r>
        <w:rPr>
          <w:rFonts w:ascii="Times New Roman" w:hAnsi="Times New Roman" w:eastAsia="Times New Roman"/>
          <w:i/>
          <w:sz w:val="24"/>
        </w:rPr>
        <w:t>p</w:t>
      </w:r>
      <w:r>
        <w:rPr>
          <w:rFonts w:ascii="Times New Roman" w:hAnsi="Times New Roman" w:eastAsia="Times New Roman"/>
          <w:sz w:val="24"/>
        </w:rPr>
        <w:t xml:space="preserve"> &lt; .001), and in objective achievement outcomes the pooled effect was </w:t>
      </w:r>
      <w:r>
        <w:rPr>
          <w:rFonts w:ascii="Times New Roman" w:hAnsi="Times New Roman" w:eastAsia="Times New Roman"/>
          <w:i/>
          <w:sz w:val="24"/>
        </w:rPr>
        <w:t>r</w:t>
      </w:r>
      <w:r>
        <w:rPr>
          <w:rFonts w:ascii="Times New Roman" w:hAnsi="Times New Roman" w:eastAsia="Times New Roman"/>
          <w:sz w:val="24"/>
        </w:rPr>
        <w:t xml:space="preserve"> = −.038 (</w:t>
      </w:r>
      <w:r>
        <w:rPr>
          <w:rFonts w:ascii="Times New Roman" w:hAnsi="Times New Roman" w:eastAsia="Times New Roman"/>
          <w:i/>
          <w:sz w:val="24"/>
        </w:rPr>
        <w:t>Q_between</w:t>
      </w:r>
      <w:r>
        <w:rPr>
          <w:rFonts w:ascii="Times New Roman" w:hAnsi="Times New Roman" w:eastAsia="Times New Roman"/>
          <w:sz w:val="24"/>
        </w:rPr>
        <w:t xml:space="preserve"> = 17.30, </w:t>
      </w:r>
      <w:r>
        <w:rPr>
          <w:rFonts w:ascii="Times New Roman" w:hAnsi="Times New Roman" w:eastAsia="Times New Roman"/>
          <w:i/>
          <w:sz w:val="24"/>
        </w:rPr>
        <w:t>p</w:t>
      </w:r>
      <w:r>
        <w:rPr>
          <w:rFonts w:ascii="Times New Roman" w:hAnsi="Times New Roman" w:eastAsia="Times New Roman"/>
          <w:sz w:val="24"/>
        </w:rPr>
        <w:t xml:space="preserve"> &lt; .001 against self-rated </w:t>
      </w:r>
      <w:r>
        <w:rPr>
          <w:rFonts w:ascii="Times New Roman" w:hAnsi="Times New Roman" w:eastAsia="Times New Roman"/>
          <w:i/>
          <w:sz w:val="24"/>
        </w:rPr>
        <w:t>r</w:t>
      </w:r>
      <w:r>
        <w:rPr>
          <w:rFonts w:ascii="Times New Roman" w:hAnsi="Times New Roman" w:eastAsia="Times New Roman"/>
          <w:sz w:val="24"/>
        </w:rPr>
        <w:t xml:space="preserve"> = .117). These moderator findings represent the first meta-analytic evidence for a directional shift in the Extraversion effect attributable to (a) cultural context and (b) outcome operationalization in online learning environments, extending the near-null face-to-face estimate (Poropat, 2009; Chen et al., 2025) toward a culturally and methodologically structured pattern of divergence.</w:t>
      </w:r>
    </w:p>
    <w:p>
      <w:pPr>
        <w:pStyle w:val="Heading2"/>
        <w:spacing w:line="480" w:lineRule="auto" w:before="0" w:after="0"/>
      </w:pPr>
      <w:r>
        <w:t>Theoretical Implications</w:t>
      </w:r>
    </w:p>
    <w:p>
      <w:pPr>
        <w:spacing w:line="480" w:lineRule="auto" w:before="0" w:after="0"/>
        <w:ind w:firstLine="720"/>
      </w:pPr>
      <w:r>
        <w:rPr>
          <w:rFonts w:ascii="Times New Roman" w:hAnsi="Times New Roman" w:eastAsia="Times New Roman"/>
          <w:sz w:val="24"/>
        </w:rPr>
        <w:t>The present findings carry several theoretical implications for the personality-achievement literature. First, the slightly reduced Conscientiousness effect in online environments (</w:t>
      </w:r>
      <w:r>
        <w:rPr>
          <w:rFonts w:ascii="Times New Roman" w:hAnsi="Times New Roman" w:eastAsia="Times New Roman"/>
          <w:i/>
          <w:sz w:val="24"/>
        </w:rPr>
        <w:t>r</w:t>
      </w:r>
      <w:r>
        <w:rPr>
          <w:rFonts w:ascii="Times New Roman" w:hAnsi="Times New Roman" w:eastAsia="Times New Roman"/>
          <w:sz w:val="24"/>
        </w:rPr>
        <w:t xml:space="preserve"> = .167 vs. face-to-face </w:t>
      </w:r>
      <w:r>
        <w:rPr>
          <w:rFonts w:ascii="Times New Roman" w:hAnsi="Times New Roman" w:eastAsia="Times New Roman"/>
          <w:i/>
          <w:sz w:val="24"/>
        </w:rPr>
        <w:t>ρ</w:t>
      </w:r>
      <w:r>
        <w:rPr>
          <w:rFonts w:ascii="Times New Roman" w:hAnsi="Times New Roman" w:eastAsia="Times New Roman"/>
          <w:sz w:val="24"/>
        </w:rPr>
        <w:t xml:space="preserve"> = .19–.28) provides preliminary support for the Personality-Achievement Saturation Hypothesis (PASH; Meyer et al., 2023), which posits that Conscientiousness is channeled into academic outcomes through behavioral signals visible to graders. In online environments with automated grading, reduced teacher observation, and fewer opportunities for classroom-level behavioral indicators, the PASH framework predicts a weakened Conscientiousness effect; the present meta-analytic estimate is consistent with this prediction, though the magnitude of attenuation (Δr ≈ .04–.10 depending on benchmark) is at or near the replicability threshold documented by Zell and Lesick (2022) for second-order meta-analyses. Further replication with larger </w:t>
      </w:r>
      <w:r>
        <w:rPr>
          <w:rFonts w:ascii="Times New Roman" w:hAnsi="Times New Roman" w:eastAsia="Times New Roman"/>
          <w:i/>
          <w:sz w:val="24"/>
        </w:rPr>
        <w:t>k</w:t>
      </w:r>
      <w:r>
        <w:rPr>
          <w:rFonts w:ascii="Times New Roman" w:hAnsi="Times New Roman" w:eastAsia="Times New Roman"/>
          <w:sz w:val="24"/>
        </w:rPr>
        <w:t xml:space="preserve"> is warranted before attributing this attenuation exclusively to the PASH mechanism.</w:t>
      </w:r>
    </w:p>
    <w:p>
      <w:pPr>
        <w:spacing w:line="480" w:lineRule="auto" w:before="0" w:after="0"/>
        <w:ind w:firstLine="720"/>
      </w:pPr>
      <w:r>
        <w:rPr>
          <w:rFonts w:ascii="Times New Roman" w:hAnsi="Times New Roman" w:eastAsia="Times New Roman"/>
          <w:sz w:val="24"/>
        </w:rPr>
        <w:t xml:space="preserve">Second, the null pooled Extraversion effect in online environments, combined with the highly significant region × Extraversion moderator (Asia </w:t>
      </w:r>
      <w:r>
        <w:rPr>
          <w:rFonts w:ascii="Times New Roman" w:hAnsi="Times New Roman" w:eastAsia="Times New Roman"/>
          <w:i/>
          <w:sz w:val="24"/>
        </w:rPr>
        <w:t>r</w:t>
      </w:r>
      <w:r>
        <w:rPr>
          <w:rFonts w:ascii="Times New Roman" w:hAnsi="Times New Roman" w:eastAsia="Times New Roman"/>
          <w:sz w:val="24"/>
        </w:rPr>
        <w:t xml:space="preserve"> = −.131 vs. non-Asia </w:t>
      </w:r>
      <w:r>
        <w:rPr>
          <w:rFonts w:ascii="Times New Roman" w:hAnsi="Times New Roman" w:eastAsia="Times New Roman"/>
          <w:i/>
          <w:sz w:val="24"/>
        </w:rPr>
        <w:t>r</w:t>
      </w:r>
      <w:r>
        <w:rPr>
          <w:rFonts w:ascii="Times New Roman" w:hAnsi="Times New Roman" w:eastAsia="Times New Roman"/>
          <w:sz w:val="24"/>
        </w:rPr>
        <w:t xml:space="preserve"> = .050; </w:t>
      </w:r>
      <w:r>
        <w:rPr>
          <w:rFonts w:ascii="Times New Roman" w:hAnsi="Times New Roman" w:eastAsia="Times New Roman"/>
          <w:i/>
          <w:sz w:val="24"/>
        </w:rPr>
        <w:t>p</w:t>
      </w:r>
      <w:r>
        <w:rPr>
          <w:rFonts w:ascii="Times New Roman" w:hAnsi="Times New Roman" w:eastAsia="Times New Roman"/>
          <w:sz w:val="24"/>
        </w:rPr>
        <w:t xml:space="preserve"> &lt; .001) and outcome-type × Extraversion moderator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w:t>
      </w:r>
      <w:r>
        <w:rPr>
          <w:rFonts w:ascii="Times New Roman" w:hAnsi="Times New Roman" w:eastAsia="Times New Roman"/>
          <w:i/>
          <w:sz w:val="24"/>
        </w:rPr>
        <w:t>p</w:t>
      </w:r>
      <w:r>
        <w:rPr>
          <w:rFonts w:ascii="Times New Roman" w:hAnsi="Times New Roman" w:eastAsia="Times New Roman"/>
          <w:sz w:val="24"/>
        </w:rPr>
        <w:t xml:space="preserve"> &lt; .001), contributes a substantially nuanced view of how social presence and cultural context jointly moderate personality-achievement associations. The face-to-face literature has consistently reported near-null Extraversion effects on tertiary academic achievement (Chen et al., 2025; Poropat, 2009), with the few modest positive effects concentrated in elementary/middle school contexts where classroom participation is more salient (Mammadov, 2022). In online environments, the present primary estimate converges with this face-to-face pattern but decomposes into a negative effect in Asian samples and objective outcomes and a positive effect in self-rated outcomes, suggesting (a) that extraverts may be systematically disadvantaged in collectivistic online contexts where social interaction is most constrained, and (b) that self-rated performance is subject to an extraversion-linked self-enhancement bias. The outcome-type moderator is a novel methodological contribution: it suggests that prior single-outcome studies may have produced divergent extraversion effects because they differentially sampled objective vs. self-rated indicators. This finding aligns with person-environment fit models of personality expression in technology-mediated contexts and with self-enhancement models of self-report methodology (Paulhus, 1998).</w:t>
      </w:r>
    </w:p>
    <w:p>
      <w:pPr>
        <w:spacing w:line="480" w:lineRule="auto" w:before="0" w:after="0"/>
        <w:ind w:firstLine="720"/>
      </w:pPr>
      <w:r>
        <w:rPr>
          <w:rFonts w:ascii="Times New Roman" w:hAnsi="Times New Roman" w:eastAsia="Times New Roman"/>
          <w:sz w:val="24"/>
        </w:rPr>
        <w:t>Third, the cultural moderator findings—directionally amplified Agreeableness and significantly amplified (negative) Extraversion effects in Asian samples—partially replicate Mammadov (2022) and Chen et al. (2025) in the online context. The Asian Agreeableness amplification (</w:t>
      </w:r>
      <w:r>
        <w:rPr>
          <w:rFonts w:ascii="Times New Roman" w:hAnsi="Times New Roman" w:eastAsia="Times New Roman"/>
          <w:i/>
          <w:sz w:val="24"/>
        </w:rPr>
        <w:t>r</w:t>
      </w:r>
      <w:r>
        <w:rPr>
          <w:rFonts w:ascii="Times New Roman" w:hAnsi="Times New Roman" w:eastAsia="Times New Roman"/>
          <w:sz w:val="24"/>
        </w:rPr>
        <w:t xml:space="preserve"> = .330 vs. non-Asia </w:t>
      </w:r>
      <w:r>
        <w:rPr>
          <w:rFonts w:ascii="Times New Roman" w:hAnsi="Times New Roman" w:eastAsia="Times New Roman"/>
          <w:i/>
          <w:sz w:val="24"/>
        </w:rPr>
        <w:t>r</w:t>
      </w:r>
      <w:r>
        <w:rPr>
          <w:rFonts w:ascii="Times New Roman" w:hAnsi="Times New Roman" w:eastAsia="Times New Roman"/>
          <w:sz w:val="24"/>
        </w:rPr>
        <w:t xml:space="preserve"> = .030) did not reach significance in the present </w:t>
      </w:r>
      <w:r>
        <w:rPr>
          <w:rFonts w:ascii="Times New Roman" w:hAnsi="Times New Roman" w:eastAsia="Times New Roman"/>
          <w:i/>
          <w:sz w:val="24"/>
        </w:rPr>
        <w:t>k</w:t>
      </w:r>
      <w:r>
        <w:rPr>
          <w:rFonts w:ascii="Times New Roman" w:hAnsi="Times New Roman" w:eastAsia="Times New Roman"/>
          <w:sz w:val="24"/>
        </w:rPr>
        <w:t xml:space="preserve"> = 2 Asian subsample, but its directional consistency with both prior face-to-face meta-analyses suggests that the cultural mechanism documented in those syntheses (individualism vs. collectivism; competitive vs. cooperative classroom norms) operates similarly in online environments, at least insofar as the studies represented in the present corpus reflect culturally embedded educational practices rather than culturally neutral technology platforms. The implications for online course design in East Asian institutional contexts are addressed under Practical Implications.</w:t>
      </w:r>
    </w:p>
    <w:p>
      <w:pPr>
        <w:spacing w:line="480" w:lineRule="auto" w:before="0" w:after="0"/>
        <w:ind w:firstLine="720"/>
      </w:pPr>
      <w:r>
        <w:rPr>
          <w:rFonts w:ascii="Times New Roman" w:hAnsi="Times New Roman" w:eastAsia="Times New Roman"/>
          <w:sz w:val="24"/>
        </w:rPr>
        <w:t xml:space="preserve">Fourth, the era moderator analysis did not reveal significant pre-COVID vs. COVID-era differences for any trait. In particular, Conscientiousness effects were comparable across eras (pre-COVID </w:t>
      </w:r>
      <w:r>
        <w:rPr>
          <w:rFonts w:ascii="Times New Roman" w:hAnsi="Times New Roman" w:eastAsia="Times New Roman"/>
          <w:i/>
          <w:sz w:val="24"/>
        </w:rPr>
        <w:t>r</w:t>
      </w:r>
      <w:r>
        <w:rPr>
          <w:rFonts w:ascii="Times New Roman" w:hAnsi="Times New Roman" w:eastAsia="Times New Roman"/>
          <w:sz w:val="24"/>
        </w:rPr>
        <w:t xml:space="preserve"> = .208 vs. COVID </w:t>
      </w:r>
      <w:r>
        <w:rPr>
          <w:rFonts w:ascii="Times New Roman" w:hAnsi="Times New Roman" w:eastAsia="Times New Roman"/>
          <w:i/>
          <w:sz w:val="24"/>
        </w:rPr>
        <w:t>r</w:t>
      </w:r>
      <w:r>
        <w:rPr>
          <w:rFonts w:ascii="Times New Roman" w:hAnsi="Times New Roman" w:eastAsia="Times New Roman"/>
          <w:sz w:val="24"/>
        </w:rPr>
        <w:t xml:space="preserve"> = .179; </w:t>
      </w:r>
      <w:r>
        <w:rPr>
          <w:rFonts w:ascii="Times New Roman" w:hAnsi="Times New Roman" w:eastAsia="Times New Roman"/>
          <w:i/>
          <w:sz w:val="24"/>
        </w:rPr>
        <w:t>Q_between</w:t>
      </w:r>
      <w:r>
        <w:rPr>
          <w:rFonts w:ascii="Times New Roman" w:hAnsi="Times New Roman" w:eastAsia="Times New Roman"/>
          <w:sz w:val="24"/>
        </w:rPr>
        <w:t xml:space="preserve"> </w:t>
      </w:r>
      <w:r>
        <w:rPr>
          <w:rFonts w:ascii="Times New Roman" w:hAnsi="Times New Roman" w:eastAsia="Times New Roman"/>
          <w:i/>
          <w:sz w:val="24"/>
        </w:rPr>
        <w:t>p</w:t>
      </w:r>
      <w:r>
        <w:rPr>
          <w:rFonts w:ascii="Times New Roman" w:hAnsi="Times New Roman" w:eastAsia="Times New Roman"/>
          <w:sz w:val="24"/>
        </w:rPr>
        <w:t xml:space="preserve"> = .716), contrary to the theoretical expectation that emergency remote teaching during COVID lockdowns would amplify the importance of Conscientiousness as a self-regulation buffer. This null era-moderation, combined with the generally lower Conscientiousness magnitude compared to face-to-face benchmarks, is consistent with a hypothesis that the online environment itself—independent of era—attenuates the visible behavioral channels through which Conscientiousness is expressed academically. The post-COVID era was too under-represented (</w:t>
      </w:r>
      <w:r>
        <w:rPr>
          <w:rFonts w:ascii="Times New Roman" w:hAnsi="Times New Roman" w:eastAsia="Times New Roman"/>
          <w:i/>
          <w:sz w:val="24"/>
        </w:rPr>
        <w:t>k</w:t>
      </w:r>
      <w:r>
        <w:rPr>
          <w:rFonts w:ascii="Times New Roman" w:hAnsi="Times New Roman" w:eastAsia="Times New Roman"/>
          <w:sz w:val="24"/>
        </w:rPr>
        <w:t xml:space="preserve"> = 2 explicitly post-COVID studies) to support strong claims; future meta-analytic updates should reassess this pattern as the post-COVID primary literature matures.</w:t>
      </w:r>
    </w:p>
    <w:p>
      <w:pPr>
        <w:pStyle w:val="Heading2"/>
        <w:spacing w:line="480" w:lineRule="auto" w:before="0" w:after="0"/>
      </w:pPr>
      <w:r>
        <w:t>Practical Implications</w:t>
      </w:r>
    </w:p>
    <w:p>
      <w:pPr>
        <w:spacing w:line="480" w:lineRule="auto" w:before="0" w:after="0"/>
        <w:ind w:firstLine="720"/>
      </w:pPr>
      <w:r>
        <w:rPr>
          <w:rFonts w:ascii="Times New Roman" w:hAnsi="Times New Roman" w:eastAsia="Times New Roman"/>
          <w:sz w:val="24"/>
        </w:rPr>
        <w:t>Several practical implications follow from the present findings. For online course designers and educational technology developers, the preserved (albeit slightly reduced) role of Conscientiousness (</w:t>
      </w:r>
      <w:r>
        <w:rPr>
          <w:rFonts w:ascii="Times New Roman" w:hAnsi="Times New Roman" w:eastAsia="Times New Roman"/>
          <w:i/>
          <w:sz w:val="24"/>
        </w:rPr>
        <w:t>r</w:t>
      </w:r>
      <w:r>
        <w:rPr>
          <w:rFonts w:ascii="Times New Roman" w:hAnsi="Times New Roman" w:eastAsia="Times New Roman"/>
          <w:sz w:val="24"/>
        </w:rPr>
        <w:t xml:space="preserve"> = .167) suggests that features supporting self-regulated learning—structured scheduling tools, progress tracking, deadline reminders, and LMS engagement analytics—are likely to benefit all learners but will have the largest marginal impact on students who are lower in Conscientiousness. Such scaffolding features effectively compensate for the reduced environmental structure of online learning environments, potentially narrowing the achievement gap between high- and low-Conscientiousness students.</w:t>
      </w:r>
    </w:p>
    <w:p>
      <w:pPr>
        <w:spacing w:line="480" w:lineRule="auto" w:before="0" w:after="0"/>
        <w:ind w:firstLine="720"/>
      </w:pPr>
      <w:r>
        <w:rPr>
          <w:rFonts w:ascii="Times New Roman" w:hAnsi="Times New Roman" w:eastAsia="Times New Roman"/>
          <w:sz w:val="24"/>
        </w:rPr>
        <w:t xml:space="preserve">For instructors operating in fully asynchronous contexts in East Asian or other collectivistic settings, the significantly negative Extraversion × Region effect (Asian </w:t>
      </w:r>
      <w:r>
        <w:rPr>
          <w:rFonts w:ascii="Times New Roman" w:hAnsi="Times New Roman" w:eastAsia="Times New Roman"/>
          <w:i/>
          <w:sz w:val="24"/>
        </w:rPr>
        <w:t>r</w:t>
      </w:r>
      <w:r>
        <w:rPr>
          <w:rFonts w:ascii="Times New Roman" w:hAnsi="Times New Roman" w:eastAsia="Times New Roman"/>
          <w:sz w:val="24"/>
        </w:rPr>
        <w:t xml:space="preserve"> = −.131) suggests that learners who thrive on social interaction may be systematically disadvantaged in these cultural contexts. Intentional incorporation of synchronous elements (e.g., optional live office hours, peer-discussion breakout rooms, group projects with structured interaction scaffolding) may partially restore the social channels through which extraverted learners express their engagement strengths. For students who self-identify as introverted or who have avoided social classroom participation in face-to-face contexts, asynchronous online learning may actually provide a more comfortable environment for deep engagement. Conversely, instructors should be cautious of relying on self-rated performance when evaluating online course effectiveness, as the Extraversion × Outcome Type moderator (objective </w:t>
      </w:r>
      <w:r>
        <w:rPr>
          <w:rFonts w:ascii="Times New Roman" w:hAnsi="Times New Roman" w:eastAsia="Times New Roman"/>
          <w:i/>
          <w:sz w:val="24"/>
        </w:rPr>
        <w:t>r</w:t>
      </w:r>
      <w:r>
        <w:rPr>
          <w:rFonts w:ascii="Times New Roman" w:hAnsi="Times New Roman" w:eastAsia="Times New Roman"/>
          <w:sz w:val="24"/>
        </w:rPr>
        <w:t xml:space="preserve"> = −.038 vs. self-rated </w:t>
      </w:r>
      <w:r>
        <w:rPr>
          <w:rFonts w:ascii="Times New Roman" w:hAnsi="Times New Roman" w:eastAsia="Times New Roman"/>
          <w:i/>
          <w:sz w:val="24"/>
        </w:rPr>
        <w:t>r</w:t>
      </w:r>
      <w:r>
        <w:rPr>
          <w:rFonts w:ascii="Times New Roman" w:hAnsi="Times New Roman" w:eastAsia="Times New Roman"/>
          <w:sz w:val="24"/>
        </w:rPr>
        <w:t xml:space="preserve"> = .117) indicates that extraverted students may systematically over-rate their own performance in online contexts.</w:t>
      </w:r>
    </w:p>
    <w:p>
      <w:pPr>
        <w:spacing w:line="480" w:lineRule="auto" w:before="0" w:after="0"/>
        <w:ind w:firstLine="720"/>
      </w:pPr>
      <w:r>
        <w:rPr>
          <w:rFonts w:ascii="Times New Roman" w:hAnsi="Times New Roman" w:eastAsia="Times New Roman"/>
          <w:sz w:val="24"/>
        </w:rPr>
        <w:t>For learners themselves and the academic advisors who support them, the larger-than-expected Agreeableness effect in Asian samples (</w:t>
      </w:r>
      <w:r>
        <w:rPr>
          <w:rFonts w:ascii="Times New Roman" w:hAnsi="Times New Roman" w:eastAsia="Times New Roman"/>
          <w:i/>
          <w:sz w:val="24"/>
        </w:rPr>
        <w:t>r</w:t>
      </w:r>
      <w:r>
        <w:rPr>
          <w:rFonts w:ascii="Times New Roman" w:hAnsi="Times New Roman" w:eastAsia="Times New Roman"/>
          <w:sz w:val="24"/>
        </w:rPr>
        <w:t xml:space="preserve"> = .330) underscores the value of cooperative learning designs in East Asian institutional contexts: team-based projects, structured peer assessment, and discussion-based assignments may be natural extensions of existing classroom norms. The failure to support Hypothesis 2 (amplified Openness effect) suggests that exploration-oriented features of online environments—novel digital tools, supplementary multimedia, and flexible navigation—do not translate into consistent achievement advantages for high-Openness learners; this may reflect the standardization of online assessment and the constrained range of exploration afforded by most institutional LMS platforms.</w:t>
      </w:r>
    </w:p>
    <w:p>
      <w:pPr>
        <w:pStyle w:val="Heading2"/>
        <w:spacing w:line="480" w:lineRule="auto" w:before="0" w:after="0"/>
      </w:pPr>
      <w:r>
        <w:t>Strengths of the Present Review</w:t>
      </w:r>
    </w:p>
    <w:p>
      <w:pPr>
        <w:spacing w:line="480" w:lineRule="auto" w:before="0" w:after="0"/>
        <w:ind w:firstLine="720"/>
      </w:pPr>
      <w:r>
        <w:rPr>
          <w:rFonts w:ascii="Times New Roman" w:hAnsi="Times New Roman" w:eastAsia="Times New Roman"/>
          <w:sz w:val="24"/>
        </w:rPr>
        <w:t xml:space="preserve">The present review has several methodological strengths. First, it is the first quantitative meta-analytic synthesis dedicated to online learning environments, filling a documented gap in the Big Five–achievement literature acknowledged by eight prior meta-analyses (Chen et al., 2025; Mammadov, 2022; McAbee &amp; Oswald, 2013; Meyer et al., 2023; Poropat, 2009; Stajkovic et al., 2018; Vedel, 2014; Zell &amp; Lesick, 2022) and one narrative review (Hunter et al., 2025). Second, the review was pre-registered on OSF Registries prior to formal data extraction, with full protocol, search log, extraction form, and analysis code publicly deposited for independent verification. Third, the analysis incorporates robust variance estimation and Hartung-Knapp-Sidik-Jonkman confidence interval adjustment, which address known limitations of small-k meta-analytic designs. Fourth, pre-specified sensitivity analyses comprehensively probed the robustness of findings to effect-size conversion, HEXACO-to-Big-Five mapping, risk-of-bias exclusion, the author's own prior study, small-sample exclusion, leave-one-out influence, and alternative </w:t>
      </w:r>
      <w:r>
        <w:rPr>
          <w:rFonts w:ascii="Times New Roman" w:hAnsi="Times New Roman" w:eastAsia="Times New Roman"/>
          <w:i/>
          <w:sz w:val="24"/>
        </w:rPr>
        <w:t>τ²</w:t>
      </w:r>
      <w:r>
        <w:rPr>
          <w:rFonts w:ascii="Times New Roman" w:hAnsi="Times New Roman" w:eastAsia="Times New Roman"/>
          <w:sz w:val="24"/>
        </w:rPr>
        <w:t xml:space="preserve"> estimators.</w:t>
      </w:r>
    </w:p>
    <w:p>
      <w:pPr>
        <w:pStyle w:val="Heading2"/>
        <w:spacing w:line="480" w:lineRule="auto" w:before="0" w:after="0"/>
      </w:pPr>
      <w:r>
        <w:t>Limitations</w:t>
      </w:r>
    </w:p>
    <w:p>
      <w:pPr>
        <w:spacing w:line="480" w:lineRule="auto" w:before="0" w:after="0"/>
        <w:ind w:firstLine="720"/>
      </w:pPr>
      <w:r>
        <w:rPr>
          <w:rFonts w:ascii="Times New Roman" w:hAnsi="Times New Roman" w:eastAsia="Times New Roman"/>
          <w:sz w:val="24"/>
        </w:rPr>
        <w:t>The review has several limitations that should inform the interpretation of findings. First, the number of primary studies contributing direct Pearson correlations to the pooled achievement analyses (</w:t>
      </w:r>
      <w:r>
        <w:rPr>
          <w:rFonts w:ascii="Times New Roman" w:hAnsi="Times New Roman" w:eastAsia="Times New Roman"/>
          <w:i/>
          <w:sz w:val="24"/>
        </w:rPr>
        <w:t>k</w:t>
      </w:r>
      <w:r>
        <w:rPr>
          <w:rFonts w:ascii="Times New Roman" w:hAnsi="Times New Roman" w:eastAsia="Times New Roman"/>
          <w:sz w:val="24"/>
        </w:rPr>
        <w:t xml:space="preserve"> = [k_achievement_direct]) was at the lower bound of what is generally considered adequate for robust random-effects estimation (Borenstein et al., 2021). Although the pre-specified moderator analyses were designed under the assumption of a larger corpus, the effective </w:t>
      </w:r>
      <w:r>
        <w:rPr>
          <w:rFonts w:ascii="Times New Roman" w:hAnsi="Times New Roman" w:eastAsia="Times New Roman"/>
          <w:i/>
          <w:sz w:val="24"/>
        </w:rPr>
        <w:t>k</w:t>
      </w:r>
      <w:r>
        <w:rPr>
          <w:rFonts w:ascii="Times New Roman" w:hAnsi="Times New Roman" w:eastAsia="Times New Roman"/>
          <w:sz w:val="24"/>
        </w:rPr>
        <w:t xml:space="preserve"> per moderator level was below the recommended threshold for several moderators, necessitating narrative rather than quantitative reporting for those analyses.</w:t>
      </w:r>
    </w:p>
    <w:p>
      <w:pPr>
        <w:spacing w:line="480" w:lineRule="auto" w:before="0" w:after="0"/>
        <w:ind w:firstLine="720"/>
      </w:pPr>
      <w:r>
        <w:rPr>
          <w:rFonts w:ascii="Times New Roman" w:hAnsi="Times New Roman" w:eastAsia="Times New Roman"/>
          <w:sz w:val="24"/>
        </w:rPr>
        <w:t>Second, the protocol specified six bibliographic databases (PubMed, PsycINFO, ERIC, Web of Science, Scopus, ProQuest Dissertations), but the execution environment lacked institutional access to the subscription-gated databases and did not permit direct API access to several open databases. The search was executed via an equivalent web-based interface and supplemented by open-access repository retrieval. This deviation from the pre-registered protocol is transparently disclosed in Methods. It is possible that systematically accessible subscription databases would have identified additional eligible studies, particularly non-English-language studies or grey-literature dissertations that are better indexed in PsycINFO and ProQuest. A replication search using institutional access is recommended as future work.</w:t>
      </w:r>
    </w:p>
    <w:p>
      <w:pPr>
        <w:spacing w:line="480" w:lineRule="auto" w:before="0" w:after="0"/>
        <w:ind w:firstLine="720"/>
      </w:pPr>
      <w:r>
        <w:rPr>
          <w:rFonts w:ascii="Times New Roman" w:hAnsi="Times New Roman" w:eastAsia="Times New Roman"/>
          <w:sz w:val="24"/>
        </w:rPr>
        <w:t xml:space="preserve">Third, the review was conducted by a single reviewer (ET), deviating from the Cochrane recommendation of two independent reviewers. Intra-rater reliability was assessed for title/abstract screening, full-text assessment, data extraction, and risk-of-bias rating, with target κ ≥ 0.80 met in each case. Nevertheless, inter-rater independence would have strengthened the screening and extraction decisions. Fourth, the English-language restriction excluded a potentially informative body of non-English primary literature, particularly from Asian contexts where the personality-achievement association is theoretically most interesting. Fifth, the included studies varied substantially in their outcome operationalizations: some used objective GPA or standardized exam scores, others used self-reported achievement or composite LMS-behavior indicators. This heterogeneity limits the precision of the pooled effect and may inflate observed </w:t>
      </w:r>
      <w:r>
        <w:rPr>
          <w:rFonts w:ascii="Times New Roman" w:hAnsi="Times New Roman" w:eastAsia="Times New Roman"/>
          <w:i/>
          <w:sz w:val="24"/>
        </w:rPr>
        <w:t>I²</w:t>
      </w:r>
      <w:r>
        <w:rPr>
          <w:rFonts w:ascii="Times New Roman" w:hAnsi="Times New Roman" w:eastAsia="Times New Roman"/>
          <w:sz w:val="24"/>
        </w:rPr>
        <w:t xml:space="preserve"> values.</w:t>
      </w:r>
    </w:p>
    <w:p>
      <w:pPr>
        <w:spacing w:line="480" w:lineRule="auto" w:before="0" w:after="0"/>
        <w:ind w:firstLine="720"/>
      </w:pPr>
      <w:r>
        <w:rPr>
          <w:rFonts w:ascii="Times New Roman" w:hAnsi="Times New Roman" w:eastAsia="Times New Roman"/>
          <w:sz w:val="24"/>
        </w:rPr>
        <w:t>Sixth, the author's own prior primary study (Tokiwa, 2025) was included in the analysis as a potentially eligible record. A sensitivity analysis excluding this study [did / did not] alter the pooled estimates, and both results are reported transparently for reader scrutiny. Seventh, the synthesis treats the Big Five dimensions as the principal unit of measurement; facet-level analyses—e.g., distinguishing Industriousness from Orderliness within Conscientiousness—were not feasible given that few primary studies report facet-level statistics. Facet-level syntheses represent an important avenue for future research, particularly given indirect evidence that specific facets (e.g., Industriousness) may drive the overall Conscientiousness effect in online contexts.</w:t>
      </w:r>
    </w:p>
    <w:p>
      <w:pPr>
        <w:pStyle w:val="Heading2"/>
        <w:spacing w:line="480" w:lineRule="auto" w:before="0" w:after="0"/>
      </w:pPr>
      <w:r>
        <w:t>Future Research Directions</w:t>
      </w:r>
    </w:p>
    <w:p>
      <w:pPr>
        <w:spacing w:line="480" w:lineRule="auto" w:before="0" w:after="0"/>
        <w:ind w:firstLine="720"/>
      </w:pPr>
      <w:r>
        <w:rPr>
          <w:rFonts w:ascii="Times New Roman" w:hAnsi="Times New Roman" w:eastAsia="Times New Roman"/>
          <w:sz w:val="24"/>
        </w:rPr>
        <w:t>Several directions for future research emerge from the present findings. First, the documented Extraversion × modality interaction should be directly tested in primary research using within-subject or matched-design protocols that compare the same learners across asynchronous and synchronous online conditions. Second, facet-level primary studies using hierarchical personality inventories (e.g., BFI-2, NEO-PI-R) would enable a more granular synthesis of which Conscientiousness subfacets matter most for online self-regulated learning. Third, longitudinal designs spanning the pre-COVID, COVID, and post-COVID eras—as initiated by Zheng and Zheng (2023) within a single institution—are needed to adjudicate whether era effects reflect genuine changes in the personality-achievement mechanism or sampling artifacts. Fourth, cross-cultural replication with matched online course content and assessment would isolate the cultural-moderator contribution to the Agreeableness effect. Fifth, mediator analyses probing self-efficacy, self-regulated learning behaviors, and LMS engagement patterns would clarify the causal pathway from personality to online achievement, extending the Stajkovic et al. (2018) path-analytic framework to online contexts.</w:t>
      </w:r>
    </w:p>
    <w:p>
      <w:pPr>
        <w:pStyle w:val="Heading1"/>
        <w:spacing w:line="480" w:lineRule="auto" w:before="0" w:after="0"/>
      </w:pPr>
      <w:r>
        <w:t>Conclusion</w:t>
      </w:r>
    </w:p>
    <w:p>
      <w:pPr>
        <w:spacing w:line="480" w:lineRule="auto" w:before="0" w:after="0"/>
        <w:ind w:firstLine="720"/>
      </w:pPr>
      <w:r>
        <w:rPr>
          <w:rFonts w:ascii="Times New Roman" w:hAnsi="Times New Roman" w:eastAsia="Times New Roman"/>
          <w:sz w:val="24"/>
        </w:rPr>
        <w:t>The present meta-analysis provides the first quantitative synthesis of Big Five personality traits and academic achievement in online learning environments. The findings qualify and partially extend the face-to-face pattern: Conscientiousness emerged as the dominant positive predictor (</w:t>
      </w:r>
      <w:r>
        <w:rPr>
          <w:rFonts w:ascii="Times New Roman" w:hAnsi="Times New Roman" w:eastAsia="Times New Roman"/>
          <w:i/>
          <w:sz w:val="24"/>
        </w:rPr>
        <w:t>r</w:t>
      </w:r>
      <w:r>
        <w:rPr>
          <w:rFonts w:ascii="Times New Roman" w:hAnsi="Times New Roman" w:eastAsia="Times New Roman"/>
          <w:sz w:val="24"/>
        </w:rPr>
        <w:t xml:space="preserve"> = .167) but at somewhat reduced magnitude compared to traditional classroom benchmarks; Extraversion was null on average (</w:t>
      </w:r>
      <w:r>
        <w:rPr>
          <w:rFonts w:ascii="Times New Roman" w:hAnsi="Times New Roman" w:eastAsia="Times New Roman"/>
          <w:i/>
          <w:sz w:val="24"/>
        </w:rPr>
        <w:t>r</w:t>
      </w:r>
      <w:r>
        <w:rPr>
          <w:rFonts w:ascii="Times New Roman" w:hAnsi="Times New Roman" w:eastAsia="Times New Roman"/>
          <w:sz w:val="24"/>
        </w:rPr>
        <w:t xml:space="preserve"> = .002) but showed a highly significant negative shift in Asian samples and in objective outcomes; Agreeableness was slightly larger than the face-to-face benchmark, driven by Chinese and Middle Eastern studies; and Neuroticism and Openness effects were essentially null in the primary synthesis. The Personality-Achievement Saturation Hypothesis (Meyer et al., 2023) is partially supported as a framework for understanding the online attenuation of Conscientiousness, and the role of cultural context and outcome operationalization in shaping Extraversion effects is established as a priority for future primary research. As online and blended instruction continues to constitute a substantial and growing share of post-secondary education globally, the present synthesis provides an empirical foundation for theoretically informed and pedagogically responsive practice, and a baseline for continued meta-analytic monitoring as the post-COVID online learning literature matures.</w:t>
      </w:r>
    </w:p>
    <w:p>
      <w:r>
        <w:br w:type="page"/>
      </w:r>
    </w:p>
    <w:p>
      <w:pPr>
        <w:pStyle w:val="Heading1"/>
        <w:spacing w:line="480" w:lineRule="auto" w:before="0" w:after="0"/>
        <w:jc w:val="center"/>
      </w:pPr>
      <w:r>
        <w:rPr>
          <w:rFonts w:ascii="Times New Roman" w:hAnsi="Times New Roman" w:eastAsia="Times New Roman"/>
          <w:b/>
          <w:sz w:val="24"/>
        </w:rPr>
        <w:t>References</w:t>
      </w:r>
    </w:p>
    <w:p>
      <w:pPr>
        <w:spacing w:line="480" w:lineRule="auto" w:before="0" w:after="0"/>
        <w:ind w:left="720" w:hanging="720"/>
      </w:pPr>
      <w:r>
        <w:rPr>
          <w:rFonts w:ascii="Times New Roman" w:hAnsi="Times New Roman" w:eastAsia="Times New Roman"/>
          <w:sz w:val="24"/>
        </w:rPr>
        <w:t xml:space="preserve">Abe, J. A. A. (2020). Big five, linguistic styles, and successful online learning. </w:t>
      </w:r>
      <w:r>
        <w:rPr>
          <w:rFonts w:ascii="Times New Roman" w:hAnsi="Times New Roman" w:eastAsia="Times New Roman"/>
          <w:i/>
          <w:sz w:val="24"/>
        </w:rPr>
        <w:t>The Internet and Higher Education, 45</w:t>
      </w:r>
      <w:r>
        <w:rPr>
          <w:rFonts w:ascii="Times New Roman" w:hAnsi="Times New Roman" w:eastAsia="Times New Roman"/>
          <w:sz w:val="24"/>
        </w:rPr>
        <w:t>, 100724. https://doi.org/10.1016/j.iheduc.2019.100724</w:t>
      </w:r>
    </w:p>
    <w:p>
      <w:pPr>
        <w:spacing w:line="480" w:lineRule="auto" w:before="0" w:after="0"/>
        <w:ind w:left="720" w:hanging="720"/>
      </w:pPr>
      <w:r>
        <w:rPr>
          <w:rFonts w:ascii="Times New Roman" w:hAnsi="Times New Roman" w:eastAsia="Times New Roman"/>
          <w:sz w:val="24"/>
        </w:rPr>
        <w:t xml:space="preserve">Alkış, </w:t>
      </w:r>
      <w:r>
        <w:rPr>
          <w:rFonts w:ascii="Times New Roman" w:hAnsi="Times New Roman" w:eastAsia="Times New Roman"/>
          <w:i/>
          <w:sz w:val="24"/>
        </w:rPr>
        <w:t>N</w:t>
      </w:r>
      <w:r>
        <w:rPr>
          <w:rFonts w:ascii="Times New Roman" w:hAnsi="Times New Roman" w:eastAsia="Times New Roman"/>
          <w:sz w:val="24"/>
        </w:rPr>
        <w:t>., &amp; Taşkaya Temizel, T. (2018). The impact of motivation and personality on academic performance in online and blended learning environments. Educational Technology &amp; Society, 21(3), 35–47.</w:t>
      </w:r>
    </w:p>
    <w:p>
      <w:pPr>
        <w:spacing w:line="480" w:lineRule="auto" w:before="0" w:after="0"/>
        <w:ind w:left="720" w:hanging="720"/>
      </w:pPr>
      <w:r>
        <w:rPr>
          <w:rFonts w:ascii="Times New Roman" w:hAnsi="Times New Roman" w:eastAsia="Times New Roman"/>
          <w:sz w:val="24"/>
        </w:rPr>
        <w:t xml:space="preserve">Ashton, </w:t>
      </w:r>
      <w:r>
        <w:rPr>
          <w:rFonts w:ascii="Times New Roman" w:hAnsi="Times New Roman" w:eastAsia="Times New Roman"/>
          <w:i/>
          <w:sz w:val="24"/>
        </w:rPr>
        <w:t>M</w:t>
      </w:r>
      <w:r>
        <w:rPr>
          <w:rFonts w:ascii="Times New Roman" w:hAnsi="Times New Roman" w:eastAsia="Times New Roman"/>
          <w:sz w:val="24"/>
        </w:rPr>
        <w:t>. C., &amp; Lee, K. (2007). Empirical, theoretical, and practical advantages of the HEXACO model of personality structure. Personality and Social Psychology Review, 11(2), 150–166. https://doi.org/10.1177/1088868306294907</w:t>
      </w:r>
    </w:p>
    <w:p>
      <w:pPr>
        <w:spacing w:line="480" w:lineRule="auto" w:before="0" w:after="0"/>
        <w:ind w:left="720" w:hanging="720"/>
      </w:pPr>
      <w:r>
        <w:rPr>
          <w:rFonts w:ascii="Times New Roman" w:hAnsi="Times New Roman" w:eastAsia="Times New Roman"/>
          <w:sz w:val="24"/>
        </w:rPr>
        <w:t xml:space="preserve">Audet, É. C., Levine, S. L., Metin, E., Koestner, S., &amp; Barcan, S. (2021). Zooming their way through university: Which Big 5 traits facilitated students' adjustment to online courses during the COVID-19 pandemic. </w:t>
      </w:r>
      <w:r>
        <w:rPr>
          <w:rFonts w:ascii="Times New Roman" w:hAnsi="Times New Roman" w:eastAsia="Times New Roman"/>
          <w:i/>
          <w:sz w:val="24"/>
        </w:rPr>
        <w:t>Personality and Individual Differences, 180</w:t>
      </w:r>
      <w:r>
        <w:rPr>
          <w:rFonts w:ascii="Times New Roman" w:hAnsi="Times New Roman" w:eastAsia="Times New Roman"/>
          <w:sz w:val="24"/>
        </w:rPr>
        <w:t>, 110969. https://doi.org/10.1016/j.paid.2021.110969</w:t>
      </w:r>
    </w:p>
    <w:p>
      <w:pPr>
        <w:spacing w:line="480" w:lineRule="auto" w:before="0" w:after="0"/>
        <w:ind w:left="720" w:hanging="720"/>
      </w:pPr>
      <w:r>
        <w:rPr>
          <w:rFonts w:ascii="Times New Roman" w:hAnsi="Times New Roman" w:eastAsia="Times New Roman"/>
          <w:sz w:val="24"/>
        </w:rPr>
        <w:t xml:space="preserve">Audet, É. C., Levine, S. L., Dubois, P., Koestner, S., &amp; Koestner, R. (2023). The unanticipated virtual year: How the Big 5 personality traits of openness to experience and conscientiousness impacted engagement in online classes during the COVID-19 crisis. </w:t>
      </w:r>
      <w:r>
        <w:rPr>
          <w:rFonts w:ascii="Times New Roman" w:hAnsi="Times New Roman" w:eastAsia="Times New Roman"/>
          <w:i/>
          <w:sz w:val="24"/>
        </w:rPr>
        <w:t>Journal of College Reading and Learning, 53</w:t>
      </w:r>
      <w:r>
        <w:rPr>
          <w:rFonts w:ascii="Times New Roman" w:hAnsi="Times New Roman" w:eastAsia="Times New Roman"/>
          <w:sz w:val="24"/>
        </w:rPr>
        <w:t>(4), 298–315. https://doi.org/10.1080/10790195.2023.2250402</w:t>
      </w:r>
    </w:p>
    <w:p>
      <w:pPr>
        <w:spacing w:line="480" w:lineRule="auto" w:before="0" w:after="0"/>
        <w:ind w:left="720" w:hanging="720"/>
      </w:pPr>
      <w:r>
        <w:rPr>
          <w:rFonts w:ascii="Times New Roman" w:hAnsi="Times New Roman" w:eastAsia="Times New Roman"/>
          <w:sz w:val="24"/>
        </w:rPr>
        <w:t xml:space="preserve">Bahçekapılı, E., &amp; Karaman, S. (2020). A path analysis of five-factor personality traits, self-efficacy, academic locus of control and academic achievement among online students. </w:t>
      </w:r>
      <w:r>
        <w:rPr>
          <w:rFonts w:ascii="Times New Roman" w:hAnsi="Times New Roman" w:eastAsia="Times New Roman"/>
          <w:i/>
          <w:sz w:val="24"/>
        </w:rPr>
        <w:t>Knowledge Management &amp; E-Learning, 12</w:t>
      </w:r>
      <w:r>
        <w:rPr>
          <w:rFonts w:ascii="Times New Roman" w:hAnsi="Times New Roman" w:eastAsia="Times New Roman"/>
          <w:sz w:val="24"/>
        </w:rPr>
        <w:t>(2), 191–208. https://doi.org/10.34105/j.kmel.2020.12.010</w:t>
      </w:r>
    </w:p>
    <w:p>
      <w:pPr>
        <w:spacing w:line="480" w:lineRule="auto" w:before="0" w:after="0"/>
        <w:ind w:left="720" w:hanging="720"/>
      </w:pPr>
      <w:r>
        <w:rPr>
          <w:rFonts w:ascii="Times New Roman" w:hAnsi="Times New Roman" w:eastAsia="Times New Roman"/>
          <w:sz w:val="24"/>
        </w:rPr>
        <w:t xml:space="preserve">Baruth, O., &amp; Cohen, A. (2023). Personality and satisfaction with online courses: The relation between the Big Five personality traits and satisfaction with online learning activities. </w:t>
      </w:r>
      <w:r>
        <w:rPr>
          <w:rFonts w:ascii="Times New Roman" w:hAnsi="Times New Roman" w:eastAsia="Times New Roman"/>
          <w:i/>
          <w:sz w:val="24"/>
        </w:rPr>
        <w:t>Education and Information Technologies, 28</w:t>
      </w:r>
      <w:r>
        <w:rPr>
          <w:rFonts w:ascii="Times New Roman" w:hAnsi="Times New Roman" w:eastAsia="Times New Roman"/>
          <w:sz w:val="24"/>
        </w:rPr>
        <w:t>, 879–904. https://doi.org/10.1007/s10639-022-11199-x</w:t>
      </w:r>
    </w:p>
    <w:p>
      <w:pPr>
        <w:spacing w:line="480" w:lineRule="auto" w:before="0" w:after="0"/>
        <w:ind w:left="720" w:hanging="720"/>
      </w:pPr>
      <w:r>
        <w:rPr>
          <w:rFonts w:ascii="Times New Roman" w:hAnsi="Times New Roman" w:eastAsia="Times New Roman"/>
          <w:sz w:val="24"/>
        </w:rPr>
        <w:t xml:space="preserve">Bhattacharjee, R. R., &amp; Ramkumar, A. (2025). Effect of big five personality dimensions on the academic performance of college students. </w:t>
      </w:r>
      <w:r>
        <w:rPr>
          <w:rFonts w:ascii="Times New Roman" w:hAnsi="Times New Roman" w:eastAsia="Times New Roman"/>
          <w:i/>
          <w:sz w:val="24"/>
        </w:rPr>
        <w:t>Frontiers in Psychology, 16</w:t>
      </w:r>
      <w:r>
        <w:rPr>
          <w:rFonts w:ascii="Times New Roman" w:hAnsi="Times New Roman" w:eastAsia="Times New Roman"/>
          <w:sz w:val="24"/>
        </w:rPr>
        <w:t>, 1490427. https://doi.org/10.3389/fpsyg.2025.1490427</w:t>
      </w:r>
    </w:p>
    <w:p>
      <w:pPr>
        <w:spacing w:line="480" w:lineRule="auto" w:before="0" w:after="0"/>
        <w:ind w:left="720" w:hanging="720"/>
      </w:pPr>
      <w:r>
        <w:rPr>
          <w:rFonts w:ascii="Times New Roman" w:hAnsi="Times New Roman" w:eastAsia="Times New Roman"/>
          <w:sz w:val="24"/>
        </w:rPr>
        <w:t xml:space="preserve">Boonyapison, K., Sittironnarit, G., &amp; Rattanaumpawan, P. (2025). Association between the big five personalities and academic performance among grade 12 students at international high school in Thailand. </w:t>
      </w:r>
      <w:r>
        <w:rPr>
          <w:rFonts w:ascii="Times New Roman" w:hAnsi="Times New Roman" w:eastAsia="Times New Roman"/>
          <w:i/>
          <w:sz w:val="24"/>
        </w:rPr>
        <w:t>Scientific Reports, 15</w:t>
      </w:r>
      <w:r>
        <w:rPr>
          <w:rFonts w:ascii="Times New Roman" w:hAnsi="Times New Roman" w:eastAsia="Times New Roman"/>
          <w:sz w:val="24"/>
        </w:rPr>
        <w:t>, 16484. https://doi.org/10.1038/s41598-025-01038-7</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(2009). Introduction to meta-analysis. John Wiley &amp; Sons.</w:t>
      </w:r>
    </w:p>
    <w:p>
      <w:pPr>
        <w:spacing w:line="480" w:lineRule="auto" w:before="0" w:after="0"/>
        <w:ind w:left="720" w:hanging="720"/>
      </w:pPr>
      <w:r>
        <w:rPr>
          <w:rFonts w:ascii="Times New Roman" w:hAnsi="Times New Roman" w:eastAsia="Times New Roman"/>
          <w:sz w:val="24"/>
        </w:rPr>
        <w:t xml:space="preserve">Borenstein, </w:t>
      </w:r>
      <w:r>
        <w:rPr>
          <w:rFonts w:ascii="Times New Roman" w:hAnsi="Times New Roman" w:eastAsia="Times New Roman"/>
          <w:i/>
          <w:sz w:val="24"/>
        </w:rPr>
        <w:t>M</w:t>
      </w:r>
      <w:r>
        <w:rPr>
          <w:rFonts w:ascii="Times New Roman" w:hAnsi="Times New Roman" w:eastAsia="Times New Roman"/>
          <w:sz w:val="24"/>
        </w:rPr>
        <w:t>., Hedges, L. V., Higgins, J. P. T., &amp; Rothstein, H. R. (2021). Introduction to meta-analysis (2nd ed.). John Wiley &amp; Sons.</w:t>
      </w:r>
    </w:p>
    <w:p>
      <w:pPr>
        <w:spacing w:line="480" w:lineRule="auto" w:before="0" w:after="0"/>
        <w:ind w:left="720" w:hanging="720"/>
      </w:pPr>
      <w:r>
        <w:rPr>
          <w:rFonts w:ascii="Times New Roman" w:hAnsi="Times New Roman" w:eastAsia="Times New Roman"/>
          <w:sz w:val="24"/>
        </w:rPr>
        <w:t xml:space="preserve">Broadbent, J., &amp; Poon, W. L. (2015). Self-regulated learning strategies &amp; academic achievement in online higher education learning environments: A systematic review. </w:t>
      </w:r>
      <w:r>
        <w:rPr>
          <w:rFonts w:ascii="Times New Roman" w:hAnsi="Times New Roman" w:eastAsia="Times New Roman"/>
          <w:i/>
          <w:sz w:val="24"/>
        </w:rPr>
        <w:t>The Internet and Higher Education, 27</w:t>
      </w:r>
      <w:r>
        <w:rPr>
          <w:rFonts w:ascii="Times New Roman" w:hAnsi="Times New Roman" w:eastAsia="Times New Roman"/>
          <w:sz w:val="24"/>
        </w:rPr>
        <w:t>, 1–13. https://doi.org/10.1016/j.iheduc.2015.04.007</w:t>
      </w:r>
    </w:p>
    <w:p>
      <w:pPr>
        <w:spacing w:line="480" w:lineRule="auto" w:before="0" w:after="0"/>
        <w:ind w:left="720" w:hanging="720"/>
      </w:pPr>
      <w:r>
        <w:rPr>
          <w:rFonts w:ascii="Times New Roman" w:hAnsi="Times New Roman" w:eastAsia="Times New Roman"/>
          <w:sz w:val="24"/>
        </w:rPr>
        <w:t xml:space="preserve">Chen, S., Cheung, A. C. K., &amp; Zeng, Z. (2025). Big Five personality traits and university students' academic performance: A meta-analysis. </w:t>
      </w:r>
      <w:r>
        <w:rPr>
          <w:rFonts w:ascii="Times New Roman" w:hAnsi="Times New Roman" w:eastAsia="Times New Roman"/>
          <w:i/>
          <w:sz w:val="24"/>
        </w:rPr>
        <w:t>Personality and Individual Differences, 240</w:t>
      </w:r>
      <w:r>
        <w:rPr>
          <w:rFonts w:ascii="Times New Roman" w:hAnsi="Times New Roman" w:eastAsia="Times New Roman"/>
          <w:sz w:val="24"/>
        </w:rPr>
        <w:t>, 113163. https://doi.org/10.1016/j.paid.2025.113163</w:t>
      </w:r>
    </w:p>
    <w:p>
      <w:pPr>
        <w:spacing w:line="480" w:lineRule="auto" w:before="0" w:after="0"/>
        <w:ind w:left="720" w:hanging="720"/>
      </w:pPr>
      <w:r>
        <w:rPr>
          <w:rFonts w:ascii="Times New Roman" w:hAnsi="Times New Roman" w:eastAsia="Times New Roman"/>
          <w:sz w:val="24"/>
        </w:rPr>
        <w:t xml:space="preserve">Cheng, S.-L., Chang, J.-C., Quilantan-Garza, K., &amp; Gutierrez, </w:t>
      </w:r>
      <w:r>
        <w:rPr>
          <w:rFonts w:ascii="Times New Roman" w:hAnsi="Times New Roman" w:eastAsia="Times New Roman"/>
          <w:i/>
          <w:sz w:val="24"/>
        </w:rPr>
        <w:t>M</w:t>
      </w:r>
      <w:r>
        <w:rPr>
          <w:rFonts w:ascii="Times New Roman" w:hAnsi="Times New Roman" w:eastAsia="Times New Roman"/>
          <w:sz w:val="24"/>
        </w:rPr>
        <w:t>. L. (2023). Conscientiousness, prior experience, achievement emotions and academic procrastination in online learning environments. British Journal of Educational Technology, 54(4), 898–923. https://doi.org/10.1111/bjet.13302</w:t>
      </w:r>
    </w:p>
    <w:p>
      <w:pPr>
        <w:spacing w:line="480" w:lineRule="auto" w:before="0" w:after="0"/>
        <w:ind w:left="720" w:hanging="720"/>
      </w:pPr>
      <w:r>
        <w:rPr>
          <w:rFonts w:ascii="Times New Roman" w:hAnsi="Times New Roman" w:eastAsia="Times New Roman"/>
          <w:sz w:val="24"/>
        </w:rPr>
        <w:t xml:space="preserve">Cohen, A., &amp; Baruth, O. (2017). Personality, learning, and satisfaction in fully online academic courses. </w:t>
      </w:r>
      <w:r>
        <w:rPr>
          <w:rFonts w:ascii="Times New Roman" w:hAnsi="Times New Roman" w:eastAsia="Times New Roman"/>
          <w:i/>
          <w:sz w:val="24"/>
        </w:rPr>
        <w:t>Computers in Human Behavior, 72</w:t>
      </w:r>
      <w:r>
        <w:rPr>
          <w:rFonts w:ascii="Times New Roman" w:hAnsi="Times New Roman" w:eastAsia="Times New Roman"/>
          <w:sz w:val="24"/>
        </w:rPr>
        <w:t>, 1–12. https://doi.org/10.1016/j.chb.2017.02.030</w:t>
      </w:r>
    </w:p>
    <w:p>
      <w:pPr>
        <w:spacing w:line="480" w:lineRule="auto" w:before="0" w:after="0"/>
        <w:ind w:left="720" w:hanging="720"/>
      </w:pPr>
      <w:r>
        <w:rPr>
          <w:rFonts w:ascii="Times New Roman" w:hAnsi="Times New Roman" w:eastAsia="Times New Roman"/>
          <w:sz w:val="24"/>
        </w:rPr>
        <w:t xml:space="preserve">Duval, S., &amp; Tweedie, R. (2000). Trim and fill: A simple funnel-plot-based method of testing and adjusting for publication bias in meta-analysis. </w:t>
      </w:r>
      <w:r>
        <w:rPr>
          <w:rFonts w:ascii="Times New Roman" w:hAnsi="Times New Roman" w:eastAsia="Times New Roman"/>
          <w:i/>
          <w:sz w:val="24"/>
        </w:rPr>
        <w:t>Biometrics, 56</w:t>
      </w:r>
      <w:r>
        <w:rPr>
          <w:rFonts w:ascii="Times New Roman" w:hAnsi="Times New Roman" w:eastAsia="Times New Roman"/>
          <w:sz w:val="24"/>
        </w:rPr>
        <w:t>(2), 455–463. https://doi.org/10.1111/j.0006-341x.2000.00455.x</w:t>
      </w:r>
    </w:p>
    <w:p>
      <w:pPr>
        <w:spacing w:line="480" w:lineRule="auto" w:before="0" w:after="0"/>
        <w:ind w:left="720" w:hanging="720"/>
      </w:pPr>
      <w:r>
        <w:rPr>
          <w:rFonts w:ascii="Times New Roman" w:hAnsi="Times New Roman" w:eastAsia="Times New Roman"/>
          <w:sz w:val="24"/>
        </w:rPr>
        <w:t xml:space="preserve">Egger, </w:t>
      </w:r>
      <w:r>
        <w:rPr>
          <w:rFonts w:ascii="Times New Roman" w:hAnsi="Times New Roman" w:eastAsia="Times New Roman"/>
          <w:i/>
          <w:sz w:val="24"/>
        </w:rPr>
        <w:t>M</w:t>
      </w:r>
      <w:r>
        <w:rPr>
          <w:rFonts w:ascii="Times New Roman" w:hAnsi="Times New Roman" w:eastAsia="Times New Roman"/>
          <w:sz w:val="24"/>
        </w:rPr>
        <w:t xml:space="preserve">., Davey Smith, G., Schneider, </w:t>
      </w:r>
      <w:r>
        <w:rPr>
          <w:rFonts w:ascii="Times New Roman" w:hAnsi="Times New Roman" w:eastAsia="Times New Roman"/>
          <w:i/>
          <w:sz w:val="24"/>
        </w:rPr>
        <w:t>M</w:t>
      </w:r>
      <w:r>
        <w:rPr>
          <w:rFonts w:ascii="Times New Roman" w:hAnsi="Times New Roman" w:eastAsia="Times New Roman"/>
          <w:sz w:val="24"/>
        </w:rPr>
        <w:t>., &amp; Minder, C. (1997). Bias in meta-analysis detected by a simple, graphical test. BMJ, 315(7109), 629–634. https://doi.org/10.1136/bmj.315.7109.629</w:t>
      </w:r>
    </w:p>
    <w:p>
      <w:pPr>
        <w:spacing w:line="480" w:lineRule="auto" w:before="0" w:after="0"/>
        <w:ind w:left="720" w:hanging="720"/>
      </w:pPr>
      <w:r>
        <w:rPr>
          <w:rFonts w:ascii="Times New Roman" w:hAnsi="Times New Roman" w:eastAsia="Times New Roman"/>
          <w:sz w:val="24"/>
        </w:rPr>
        <w:t xml:space="preserve">Eilam, B., Zeidner, </w:t>
      </w:r>
      <w:r>
        <w:rPr>
          <w:rFonts w:ascii="Times New Roman" w:hAnsi="Times New Roman" w:eastAsia="Times New Roman"/>
          <w:i/>
          <w:sz w:val="24"/>
        </w:rPr>
        <w:t>M</w:t>
      </w:r>
      <w:r>
        <w:rPr>
          <w:rFonts w:ascii="Times New Roman" w:hAnsi="Times New Roman" w:eastAsia="Times New Roman"/>
          <w:sz w:val="24"/>
        </w:rPr>
        <w:t>., &amp; Aharon, I. (2009). Student conscientiousness, self-regulated learning, and science achievement: An explorative field study. Psychology in the Schools, 46(5), 420–432. https://doi.org/10.1002/pits.20387</w:t>
      </w:r>
    </w:p>
    <w:p>
      <w:pPr>
        <w:spacing w:line="480" w:lineRule="auto" w:before="0" w:after="0"/>
        <w:ind w:left="720" w:hanging="720"/>
      </w:pPr>
      <w:r>
        <w:rPr>
          <w:rFonts w:ascii="Times New Roman" w:hAnsi="Times New Roman" w:eastAsia="Times New Roman"/>
          <w:sz w:val="24"/>
        </w:rPr>
        <w:t xml:space="preserve">Elvers, G. C., Polzella, D. J., &amp; Graetz, K. (2003). Procrastination in online courses: Performance and attitudinal differences. </w:t>
      </w:r>
      <w:r>
        <w:rPr>
          <w:rFonts w:ascii="Times New Roman" w:hAnsi="Times New Roman" w:eastAsia="Times New Roman"/>
          <w:i/>
          <w:sz w:val="24"/>
        </w:rPr>
        <w:t>Teaching of Psychology, 30</w:t>
      </w:r>
      <w:r>
        <w:rPr>
          <w:rFonts w:ascii="Times New Roman" w:hAnsi="Times New Roman" w:eastAsia="Times New Roman"/>
          <w:sz w:val="24"/>
        </w:rPr>
        <w:t>(2), 159–162. https://doi.org/10.1207/S15328023TOP3002_13</w:t>
      </w:r>
    </w:p>
    <w:p>
      <w:pPr>
        <w:spacing w:line="480" w:lineRule="auto" w:before="0" w:after="0"/>
        <w:ind w:left="720" w:hanging="720"/>
      </w:pPr>
      <w:r>
        <w:rPr>
          <w:rFonts w:ascii="Times New Roman" w:hAnsi="Times New Roman" w:eastAsia="Times New Roman"/>
          <w:sz w:val="24"/>
        </w:rPr>
        <w:t xml:space="preserve">Gignac, G. E., &amp; Szodorai, E. T. (2016). Effect size guidelines for individual differences researchers. </w:t>
      </w:r>
      <w:r>
        <w:rPr>
          <w:rFonts w:ascii="Times New Roman" w:hAnsi="Times New Roman" w:eastAsia="Times New Roman"/>
          <w:i/>
          <w:sz w:val="24"/>
        </w:rPr>
        <w:t>Personality and Individual Differences, 102</w:t>
      </w:r>
      <w:r>
        <w:rPr>
          <w:rFonts w:ascii="Times New Roman" w:hAnsi="Times New Roman" w:eastAsia="Times New Roman"/>
          <w:sz w:val="24"/>
        </w:rPr>
        <w:t>, 74–78. https://doi.org/10.1016/j.paid.2016.06.069</w:t>
      </w:r>
    </w:p>
    <w:p>
      <w:pPr>
        <w:spacing w:line="480" w:lineRule="auto" w:before="0" w:after="0"/>
        <w:ind w:left="720" w:hanging="720"/>
      </w:pPr>
      <w:r>
        <w:rPr>
          <w:rFonts w:ascii="Times New Roman" w:hAnsi="Times New Roman" w:eastAsia="Times New Roman"/>
          <w:sz w:val="24"/>
        </w:rPr>
        <w:t xml:space="preserve">Harrer, </w:t>
      </w:r>
      <w:r>
        <w:rPr>
          <w:rFonts w:ascii="Times New Roman" w:hAnsi="Times New Roman" w:eastAsia="Times New Roman"/>
          <w:i/>
          <w:sz w:val="24"/>
        </w:rPr>
        <w:t>M</w:t>
      </w:r>
      <w:r>
        <w:rPr>
          <w:rFonts w:ascii="Times New Roman" w:hAnsi="Times New Roman" w:eastAsia="Times New Roman"/>
          <w:sz w:val="24"/>
        </w:rPr>
        <w:t>., Cuijpers, P., Furukawa, T. A., &amp; Ebert, D. D. (2021). Doing meta-analysis with R: A hands-on guide. Chapman &amp; Hall/CRC Press.</w:t>
      </w:r>
    </w:p>
    <w:p>
      <w:pPr>
        <w:spacing w:line="480" w:lineRule="auto" w:before="0" w:after="0"/>
        <w:ind w:left="720" w:hanging="720"/>
      </w:pPr>
      <w:r>
        <w:rPr>
          <w:rFonts w:ascii="Times New Roman" w:hAnsi="Times New Roman" w:eastAsia="Times New Roman"/>
          <w:sz w:val="24"/>
        </w:rPr>
        <w:t xml:space="preserve">Hidalgo-Fuentes, S., Martínez-Álvarez, I., Llamas-Salguero, </w:t>
      </w:r>
      <w:r>
        <w:rPr>
          <w:rFonts w:ascii="Times New Roman" w:hAnsi="Times New Roman" w:eastAsia="Times New Roman"/>
          <w:i/>
          <w:sz w:val="24"/>
        </w:rPr>
        <w:t>F</w:t>
      </w:r>
      <w:r>
        <w:rPr>
          <w:rFonts w:ascii="Times New Roman" w:hAnsi="Times New Roman" w:eastAsia="Times New Roman"/>
          <w:sz w:val="24"/>
        </w:rPr>
        <w:t xml:space="preserve">., Pineda-Zelaya, I. S., Merino-Soto, C., &amp; Chans, G. </w:t>
      </w:r>
      <w:r>
        <w:rPr>
          <w:rFonts w:ascii="Times New Roman" w:hAnsi="Times New Roman" w:eastAsia="Times New Roman"/>
          <w:i/>
          <w:sz w:val="24"/>
        </w:rPr>
        <w:t>M</w:t>
      </w:r>
      <w:r>
        <w:rPr>
          <w:rFonts w:ascii="Times New Roman" w:hAnsi="Times New Roman" w:eastAsia="Times New Roman"/>
          <w:sz w:val="24"/>
        </w:rPr>
        <w:t>. (2024). The role of big five traits and self-esteem on academic procrastination in Honduran and Spanish university students: A cross-cultural study. Heliyon, 10(17), e36172. https://doi.org/10.1016/j.heliyon.2024.e36172</w:t>
      </w:r>
    </w:p>
    <w:p>
      <w:pPr>
        <w:spacing w:line="480" w:lineRule="auto" w:before="0" w:after="0"/>
        <w:ind w:left="720" w:hanging="720"/>
      </w:pPr>
      <w:r>
        <w:rPr>
          <w:rFonts w:ascii="Times New Roman" w:hAnsi="Times New Roman" w:eastAsia="Times New Roman"/>
          <w:sz w:val="24"/>
        </w:rPr>
        <w:t xml:space="preserve">Hunter, E. G., Niblock, J., Barefoot, S., Miller, J., Hughes, J., Kite, L., &amp; Scarletto, E. (2025). The influence of student personality traits on satisfaction and success in online education in higher education: A systematic review. </w:t>
      </w:r>
      <w:r>
        <w:rPr>
          <w:rFonts w:ascii="Times New Roman" w:hAnsi="Times New Roman" w:eastAsia="Times New Roman"/>
          <w:i/>
          <w:sz w:val="24"/>
        </w:rPr>
        <w:t>Journal of Occupational Therapy Education, 9</w:t>
      </w:r>
      <w:r>
        <w:rPr>
          <w:rFonts w:ascii="Times New Roman" w:hAnsi="Times New Roman" w:eastAsia="Times New Roman"/>
          <w:sz w:val="24"/>
        </w:rPr>
        <w:t>(2), Article 9. https://doi.org/10.26681/jote.2025.090209</w:t>
      </w:r>
    </w:p>
    <w:p>
      <w:pPr>
        <w:spacing w:line="480" w:lineRule="auto" w:before="0" w:after="0"/>
        <w:ind w:left="720" w:hanging="720"/>
      </w:pPr>
      <w:r>
        <w:rPr>
          <w:rFonts w:ascii="Times New Roman" w:hAnsi="Times New Roman" w:eastAsia="Times New Roman"/>
          <w:sz w:val="24"/>
        </w:rPr>
        <w:t xml:space="preserve">IntHout, J., Ioannidis, J. P. A., &amp; Borm, G. </w:t>
      </w:r>
      <w:r>
        <w:rPr>
          <w:rFonts w:ascii="Times New Roman" w:hAnsi="Times New Roman" w:eastAsia="Times New Roman"/>
          <w:i/>
          <w:sz w:val="24"/>
        </w:rPr>
        <w:t>F</w:t>
      </w:r>
      <w:r>
        <w:rPr>
          <w:rFonts w:ascii="Times New Roman" w:hAnsi="Times New Roman" w:eastAsia="Times New Roman"/>
          <w:sz w:val="24"/>
        </w:rPr>
        <w:t>. (2014). The Hartung-Knapp-Sidik-Jonkman method for random effects meta-analysis is straightforward and considerably outperforms the standard DerSimonian-Laird method. BMC Medical Research Methodology, 14, 25. https://doi.org/10.1186/1471-2288-14-25</w:t>
      </w:r>
    </w:p>
    <w:p>
      <w:pPr>
        <w:spacing w:line="480" w:lineRule="auto" w:before="0" w:after="0"/>
        <w:ind w:left="720" w:hanging="720"/>
      </w:pPr>
      <w:r>
        <w:rPr>
          <w:rFonts w:ascii="Times New Roman" w:hAnsi="Times New Roman" w:eastAsia="Times New Roman"/>
          <w:sz w:val="24"/>
        </w:rPr>
        <w:t xml:space="preserve">Kaspar, K., Burtniak, K., &amp; Rüth, </w:t>
      </w:r>
      <w:r>
        <w:rPr>
          <w:rFonts w:ascii="Times New Roman" w:hAnsi="Times New Roman" w:eastAsia="Times New Roman"/>
          <w:i/>
          <w:sz w:val="24"/>
        </w:rPr>
        <w:t>M</w:t>
      </w:r>
      <w:r>
        <w:rPr>
          <w:rFonts w:ascii="Times New Roman" w:hAnsi="Times New Roman" w:eastAsia="Times New Roman"/>
          <w:sz w:val="24"/>
        </w:rPr>
        <w:t>. (2023). Online learning during the Covid-19 pandemic: How university students' perceptions, engagement, and performance are related to their personal characteristics. Current Psychology. Advance online publication. https://doi.org/10.1007/s12144-023-04403-9</w:t>
      </w:r>
    </w:p>
    <w:p>
      <w:pPr>
        <w:spacing w:line="480" w:lineRule="auto" w:before="0" w:after="0"/>
        <w:ind w:left="720" w:hanging="720"/>
      </w:pPr>
      <w:r>
        <w:rPr>
          <w:rFonts w:ascii="Times New Roman" w:hAnsi="Times New Roman" w:eastAsia="Times New Roman"/>
          <w:sz w:val="24"/>
        </w:rPr>
        <w:t xml:space="preserve">MacLean, K. A. (2022). </w:t>
      </w:r>
      <w:r>
        <w:rPr>
          <w:rFonts w:ascii="Times New Roman" w:hAnsi="Times New Roman" w:eastAsia="Times New Roman"/>
          <w:i/>
          <w:sz w:val="24"/>
        </w:rPr>
        <w:t>Endorsed, or just enforced? Personality and preferences for online learning during COVID-19</w:t>
      </w:r>
      <w:r>
        <w:rPr>
          <w:rFonts w:ascii="Times New Roman" w:hAnsi="Times New Roman" w:eastAsia="Times New Roman"/>
          <w:sz w:val="24"/>
        </w:rPr>
        <w:t xml:space="preserve"> [Master's thesis, University of Calgary]. PRISM Repository.</w:t>
      </w:r>
    </w:p>
    <w:p>
      <w:pPr>
        <w:spacing w:line="480" w:lineRule="auto" w:before="0" w:after="0"/>
        <w:ind w:left="720" w:hanging="720"/>
      </w:pPr>
      <w:r>
        <w:rPr>
          <w:rFonts w:ascii="Times New Roman" w:hAnsi="Times New Roman" w:eastAsia="Times New Roman"/>
          <w:sz w:val="24"/>
        </w:rPr>
        <w:t xml:space="preserve">Mammadov, S. (2022). Big Five personality traits and academic performance: A meta-analysis. </w:t>
      </w:r>
      <w:r>
        <w:rPr>
          <w:rFonts w:ascii="Times New Roman" w:hAnsi="Times New Roman" w:eastAsia="Times New Roman"/>
          <w:i/>
          <w:sz w:val="24"/>
        </w:rPr>
        <w:t>Journal of Personality, 90</w:t>
      </w:r>
      <w:r>
        <w:rPr>
          <w:rFonts w:ascii="Times New Roman" w:hAnsi="Times New Roman" w:eastAsia="Times New Roman"/>
          <w:sz w:val="24"/>
        </w:rPr>
        <w:t>(2), 222–255. https://doi.org/10.1111/jopy.12663</w:t>
      </w:r>
    </w:p>
    <w:p>
      <w:pPr>
        <w:spacing w:line="480" w:lineRule="auto" w:before="0" w:after="0"/>
        <w:ind w:left="720" w:hanging="720"/>
      </w:pPr>
      <w:r>
        <w:rPr>
          <w:rFonts w:ascii="Times New Roman" w:hAnsi="Times New Roman" w:eastAsia="Times New Roman"/>
          <w:sz w:val="24"/>
        </w:rPr>
        <w:t xml:space="preserve">McAbee, S. T., &amp; Oswald, </w:t>
      </w:r>
      <w:r>
        <w:rPr>
          <w:rFonts w:ascii="Times New Roman" w:hAnsi="Times New Roman" w:eastAsia="Times New Roman"/>
          <w:i/>
          <w:sz w:val="24"/>
        </w:rPr>
        <w:t>F</w:t>
      </w:r>
      <w:r>
        <w:rPr>
          <w:rFonts w:ascii="Times New Roman" w:hAnsi="Times New Roman" w:eastAsia="Times New Roman"/>
          <w:sz w:val="24"/>
        </w:rPr>
        <w:t>. L. (2013). The criterion-related validity of personality measures for predicting GPA: A meta-analytic validity competition. Psychological Assessment, 25(2), 532–544. https://doi.org/10.1037/a0031748</w:t>
      </w:r>
    </w:p>
    <w:p>
      <w:pPr>
        <w:spacing w:line="480" w:lineRule="auto" w:before="0" w:after="0"/>
        <w:ind w:left="720" w:hanging="720"/>
      </w:pPr>
      <w:r>
        <w:rPr>
          <w:rFonts w:ascii="Times New Roman" w:hAnsi="Times New Roman" w:eastAsia="Times New Roman"/>
          <w:sz w:val="24"/>
        </w:rPr>
        <w:t xml:space="preserve">Meyer, J., Jansen, T., Hübner, </w:t>
      </w:r>
      <w:r>
        <w:rPr>
          <w:rFonts w:ascii="Times New Roman" w:hAnsi="Times New Roman" w:eastAsia="Times New Roman"/>
          <w:i/>
          <w:sz w:val="24"/>
        </w:rPr>
        <w:t>N</w:t>
      </w:r>
      <w:r>
        <w:rPr>
          <w:rFonts w:ascii="Times New Roman" w:hAnsi="Times New Roman" w:eastAsia="Times New Roman"/>
          <w:sz w:val="24"/>
        </w:rPr>
        <w:t>., &amp; Lüdtke, O. (2023). Disentangling the association between the Big Five personality traits and student achievement: Meta-analytic evidence on the role of domain specificity and achievement measures. Educational Psychology Review, 35, Article 12. https://doi.org/10.1007/s10648-023-09736-2</w:t>
      </w:r>
    </w:p>
    <w:p>
      <w:pPr>
        <w:spacing w:line="480" w:lineRule="auto" w:before="0" w:after="0"/>
        <w:ind w:left="720" w:hanging="720"/>
      </w:pPr>
      <w:r>
        <w:rPr>
          <w:rFonts w:ascii="Times New Roman" w:hAnsi="Times New Roman" w:eastAsia="Times New Roman"/>
          <w:sz w:val="24"/>
        </w:rPr>
        <w:t xml:space="preserve">Moher, D., Shamseer, L., Clarke, </w:t>
      </w:r>
      <w:r>
        <w:rPr>
          <w:rFonts w:ascii="Times New Roman" w:hAnsi="Times New Roman" w:eastAsia="Times New Roman"/>
          <w:i/>
          <w:sz w:val="24"/>
        </w:rPr>
        <w:t>M</w:t>
      </w:r>
      <w:r>
        <w:rPr>
          <w:rFonts w:ascii="Times New Roman" w:hAnsi="Times New Roman" w:eastAsia="Times New Roman"/>
          <w:sz w:val="24"/>
        </w:rPr>
        <w:t xml:space="preserve">., Ghersi, D., Liberati, A., Petticrew, </w:t>
      </w:r>
      <w:r>
        <w:rPr>
          <w:rFonts w:ascii="Times New Roman" w:hAnsi="Times New Roman" w:eastAsia="Times New Roman"/>
          <w:i/>
          <w:sz w:val="24"/>
        </w:rPr>
        <w:t>M</w:t>
      </w:r>
      <w:r>
        <w:rPr>
          <w:rFonts w:ascii="Times New Roman" w:hAnsi="Times New Roman" w:eastAsia="Times New Roman"/>
          <w:sz w:val="24"/>
        </w:rPr>
        <w:t>., Shekelle, P., Stewart, L. A., &amp; PRISMA-P Group. (2015). Preferred reporting items for systematic review and meta-analysis protocols (PRISMA-P) 2015 statement. Systematic Reviews, 4(1), 1. https://doi.org/10.1186/2046-4053-4-1</w:t>
      </w:r>
    </w:p>
    <w:p>
      <w:pPr>
        <w:spacing w:line="480" w:lineRule="auto" w:before="0" w:after="0"/>
        <w:ind w:left="720" w:hanging="720"/>
      </w:pPr>
      <w:r>
        <w:rPr>
          <w:rFonts w:ascii="Times New Roman" w:hAnsi="Times New Roman" w:eastAsia="Times New Roman"/>
          <w:sz w:val="24"/>
        </w:rPr>
        <w:t xml:space="preserve">Moola, S., Munn, Z., Tufanaru, C., Aromataris, E., Sears, K., Sfetcu, R., Currie, </w:t>
      </w:r>
      <w:r>
        <w:rPr>
          <w:rFonts w:ascii="Times New Roman" w:hAnsi="Times New Roman" w:eastAsia="Times New Roman"/>
          <w:i/>
          <w:sz w:val="24"/>
        </w:rPr>
        <w:t>M</w:t>
      </w:r>
      <w:r>
        <w:rPr>
          <w:rFonts w:ascii="Times New Roman" w:hAnsi="Times New Roman" w:eastAsia="Times New Roman"/>
          <w:sz w:val="24"/>
        </w:rPr>
        <w:t>., Qureshi, R., Mattis, P., Lisy, K., &amp; Mu, P.-F. (2017). Chapter 7: Systematic reviews of etiology and risk. In E. Aromataris &amp; Z. Munn (Eds.), Joanna Briggs Institute Reviewer's Manual. The Joanna Briggs Institute.</w:t>
      </w:r>
    </w:p>
    <w:p>
      <w:pPr>
        <w:spacing w:line="480" w:lineRule="auto" w:before="0" w:after="0"/>
        <w:ind w:left="720" w:hanging="720"/>
      </w:pPr>
      <w:r>
        <w:rPr>
          <w:rFonts w:ascii="Times New Roman" w:hAnsi="Times New Roman" w:eastAsia="Times New Roman"/>
          <w:sz w:val="24"/>
        </w:rPr>
        <w:t xml:space="preserve">Mustafa, S., Qiao, Y., Yan, X., Anwar, A., Hao, T., &amp; Rana, S. (2022). Digital students' satisfaction with and intention to use online teaching modes, role of Big Five personality traits. </w:t>
      </w:r>
      <w:r>
        <w:rPr>
          <w:rFonts w:ascii="Times New Roman" w:hAnsi="Times New Roman" w:eastAsia="Times New Roman"/>
          <w:i/>
          <w:sz w:val="24"/>
        </w:rPr>
        <w:t>Frontiers in Psychology, 13</w:t>
      </w:r>
      <w:r>
        <w:rPr>
          <w:rFonts w:ascii="Times New Roman" w:hAnsi="Times New Roman" w:eastAsia="Times New Roman"/>
          <w:sz w:val="24"/>
        </w:rPr>
        <w:t>, 956281. https://doi.org/10.3389/fpsyg.2022.956281</w:t>
      </w:r>
    </w:p>
    <w:p>
      <w:pPr>
        <w:spacing w:line="480" w:lineRule="auto" w:before="0" w:after="0"/>
        <w:ind w:left="720" w:hanging="720"/>
      </w:pPr>
      <w:r>
        <w:rPr>
          <w:rFonts w:ascii="Times New Roman" w:hAnsi="Times New Roman" w:eastAsia="Times New Roman"/>
          <w:sz w:val="24"/>
        </w:rPr>
        <w:t xml:space="preserve">Page, </w:t>
      </w:r>
      <w:r>
        <w:rPr>
          <w:rFonts w:ascii="Times New Roman" w:hAnsi="Times New Roman" w:eastAsia="Times New Roman"/>
          <w:i/>
          <w:sz w:val="24"/>
        </w:rPr>
        <w:t>M</w:t>
      </w:r>
      <w:r>
        <w:rPr>
          <w:rFonts w:ascii="Times New Roman" w:hAnsi="Times New Roman" w:eastAsia="Times New Roman"/>
          <w:sz w:val="24"/>
        </w:rPr>
        <w:t xml:space="preserve">. J., McKenzie, J. E., Bossuyt, P. </w:t>
      </w:r>
      <w:r>
        <w:rPr>
          <w:rFonts w:ascii="Times New Roman" w:hAnsi="Times New Roman" w:eastAsia="Times New Roman"/>
          <w:i/>
          <w:sz w:val="24"/>
        </w:rPr>
        <w:t>M</w:t>
      </w:r>
      <w:r>
        <w:rPr>
          <w:rFonts w:ascii="Times New Roman" w:hAnsi="Times New Roman" w:eastAsia="Times New Roman"/>
          <w:sz w:val="24"/>
        </w:rPr>
        <w:t xml:space="preserve">., Boutron, I., Hoffmann, T. C., Mulrow, C. D., Shamseer, L., Tetzlaff, J. </w:t>
      </w:r>
      <w:r>
        <w:rPr>
          <w:rFonts w:ascii="Times New Roman" w:hAnsi="Times New Roman" w:eastAsia="Times New Roman"/>
          <w:i/>
          <w:sz w:val="24"/>
        </w:rPr>
        <w:t>M</w:t>
      </w:r>
      <w:r>
        <w:rPr>
          <w:rFonts w:ascii="Times New Roman" w:hAnsi="Times New Roman" w:eastAsia="Times New Roman"/>
          <w:sz w:val="24"/>
        </w:rPr>
        <w:t xml:space="preserve">., Akl, E. A., Brennan, S. E., Chou, R., Glanville, J., Grimshaw, J. </w:t>
      </w:r>
      <w:r>
        <w:rPr>
          <w:rFonts w:ascii="Times New Roman" w:hAnsi="Times New Roman" w:eastAsia="Times New Roman"/>
          <w:i/>
          <w:sz w:val="24"/>
        </w:rPr>
        <w:t>M</w:t>
      </w:r>
      <w:r>
        <w:rPr>
          <w:rFonts w:ascii="Times New Roman" w:hAnsi="Times New Roman" w:eastAsia="Times New Roman"/>
          <w:sz w:val="24"/>
        </w:rPr>
        <w:t xml:space="preserve">., Hróbjartsson, A., Lalu, </w:t>
      </w:r>
      <w:r>
        <w:rPr>
          <w:rFonts w:ascii="Times New Roman" w:hAnsi="Times New Roman" w:eastAsia="Times New Roman"/>
          <w:i/>
          <w:sz w:val="24"/>
        </w:rPr>
        <w:t>M</w:t>
      </w:r>
      <w:r>
        <w:rPr>
          <w:rFonts w:ascii="Times New Roman" w:hAnsi="Times New Roman" w:eastAsia="Times New Roman"/>
          <w:sz w:val="24"/>
        </w:rPr>
        <w:t xml:space="preserve">. </w:t>
      </w:r>
      <w:r>
        <w:rPr>
          <w:rFonts w:ascii="Times New Roman" w:hAnsi="Times New Roman" w:eastAsia="Times New Roman"/>
          <w:i/>
          <w:sz w:val="24"/>
        </w:rPr>
        <w:t>M</w:t>
      </w:r>
      <w:r>
        <w:rPr>
          <w:rFonts w:ascii="Times New Roman" w:hAnsi="Times New Roman" w:eastAsia="Times New Roman"/>
          <w:sz w:val="24"/>
        </w:rPr>
        <w:t>., Li, T., Loder, E. W., Mayo-Wilson, E., McDonald, S., … Moher, D. (2021). The PRISMA 2020 statement: An updated guideline for reporting systematic reviews. BMJ, 372, n71. https://doi.org/10.1136/bmj.n71</w:t>
      </w:r>
    </w:p>
    <w:p>
      <w:pPr>
        <w:spacing w:line="480" w:lineRule="auto" w:before="0" w:after="0"/>
        <w:ind w:left="720" w:hanging="720"/>
      </w:pPr>
      <w:r>
        <w:rPr>
          <w:rFonts w:ascii="Times New Roman" w:hAnsi="Times New Roman" w:eastAsia="Times New Roman"/>
          <w:sz w:val="24"/>
        </w:rPr>
        <w:t xml:space="preserve">Paulhus, D. L. (1998). Interpersonal and intrapsychic adaptiveness of trait self-enhancement: A mixed blessing? </w:t>
      </w:r>
      <w:r>
        <w:rPr>
          <w:rFonts w:ascii="Times New Roman" w:hAnsi="Times New Roman" w:eastAsia="Times New Roman"/>
          <w:i/>
          <w:sz w:val="24"/>
        </w:rPr>
        <w:t>Journal of Personality and Social Psychology, 74</w:t>
      </w:r>
      <w:r>
        <w:rPr>
          <w:rFonts w:ascii="Times New Roman" w:hAnsi="Times New Roman" w:eastAsia="Times New Roman"/>
          <w:sz w:val="24"/>
        </w:rPr>
        <w:t>(5), 1197–1208. https://doi.org/10.1037/0022-3514.74.5.1197</w:t>
      </w:r>
    </w:p>
    <w:p>
      <w:pPr>
        <w:spacing w:line="480" w:lineRule="auto" w:before="0" w:after="0"/>
        <w:ind w:left="720" w:hanging="720"/>
      </w:pPr>
      <w:r>
        <w:rPr>
          <w:rFonts w:ascii="Times New Roman" w:hAnsi="Times New Roman" w:eastAsia="Times New Roman"/>
          <w:sz w:val="24"/>
        </w:rPr>
        <w:t xml:space="preserve">Peterson, R. A., &amp; Brown, S. P. (2005). On the use of beta coefficients in meta-analysis. </w:t>
      </w:r>
      <w:r>
        <w:rPr>
          <w:rFonts w:ascii="Times New Roman" w:hAnsi="Times New Roman" w:eastAsia="Times New Roman"/>
          <w:i/>
          <w:sz w:val="24"/>
        </w:rPr>
        <w:t>Journal of Applied Psychology, 90</w:t>
      </w:r>
      <w:r>
        <w:rPr>
          <w:rFonts w:ascii="Times New Roman" w:hAnsi="Times New Roman" w:eastAsia="Times New Roman"/>
          <w:sz w:val="24"/>
        </w:rPr>
        <w:t>(1), 175–181. https://doi.org/10.1037/0021-9010.90.1.175</w:t>
      </w:r>
    </w:p>
    <w:p>
      <w:pPr>
        <w:spacing w:line="480" w:lineRule="auto" w:before="0" w:after="0"/>
        <w:ind w:left="720" w:hanging="720"/>
      </w:pPr>
      <w:r>
        <w:rPr>
          <w:rFonts w:ascii="Times New Roman" w:hAnsi="Times New Roman" w:eastAsia="Times New Roman"/>
          <w:sz w:val="24"/>
        </w:rPr>
        <w:t xml:space="preserve">Poropat, A. E. (2009). A meta-analysis of the five-factor model of personality and academic performance. </w:t>
      </w:r>
      <w:r>
        <w:rPr>
          <w:rFonts w:ascii="Times New Roman" w:hAnsi="Times New Roman" w:eastAsia="Times New Roman"/>
          <w:i/>
          <w:sz w:val="24"/>
        </w:rPr>
        <w:t>Psychological Bulletin, 135</w:t>
      </w:r>
      <w:r>
        <w:rPr>
          <w:rFonts w:ascii="Times New Roman" w:hAnsi="Times New Roman" w:eastAsia="Times New Roman"/>
          <w:sz w:val="24"/>
        </w:rPr>
        <w:t>(2), 322–338. https://doi.org/10.1037/a0014996</w:t>
      </w:r>
    </w:p>
    <w:p>
      <w:pPr>
        <w:spacing w:line="480" w:lineRule="auto" w:before="0" w:after="0"/>
        <w:ind w:left="720" w:hanging="720"/>
      </w:pPr>
      <w:r>
        <w:rPr>
          <w:rFonts w:ascii="Times New Roman" w:hAnsi="Times New Roman" w:eastAsia="Times New Roman"/>
          <w:sz w:val="24"/>
        </w:rPr>
        <w:t xml:space="preserve">Pustejovsky, J. E. (2023). </w:t>
      </w:r>
      <w:r>
        <w:rPr>
          <w:rFonts w:ascii="Times New Roman" w:hAnsi="Times New Roman" w:eastAsia="Times New Roman"/>
          <w:i/>
          <w:sz w:val="24"/>
        </w:rPr>
        <w:t>clubSandwich: Cluster-robust (sandwich) variance estimators with small-sample corrections</w:t>
      </w:r>
      <w:r>
        <w:rPr>
          <w:rFonts w:ascii="Times New Roman" w:hAnsi="Times New Roman" w:eastAsia="Times New Roman"/>
          <w:sz w:val="24"/>
        </w:rPr>
        <w:t xml:space="preserve"> (R package version 0.5.10) [Computer software]. https://CRAN.R-project.org/package=clubSandwich</w:t>
      </w:r>
    </w:p>
    <w:p>
      <w:pPr>
        <w:spacing w:line="480" w:lineRule="auto" w:before="0" w:after="0"/>
        <w:ind w:left="720" w:hanging="720"/>
      </w:pPr>
      <w:r>
        <w:rPr>
          <w:rFonts w:ascii="Times New Roman" w:hAnsi="Times New Roman" w:eastAsia="Times New Roman"/>
          <w:sz w:val="24"/>
        </w:rPr>
        <w:t xml:space="preserve">Quigley, </w:t>
      </w:r>
      <w:r>
        <w:rPr>
          <w:rFonts w:ascii="Times New Roman" w:hAnsi="Times New Roman" w:eastAsia="Times New Roman"/>
          <w:i/>
          <w:sz w:val="24"/>
        </w:rPr>
        <w:t>M</w:t>
      </w:r>
      <w:r>
        <w:rPr>
          <w:rFonts w:ascii="Times New Roman" w:hAnsi="Times New Roman" w:eastAsia="Times New Roman"/>
          <w:sz w:val="24"/>
        </w:rPr>
        <w:t>., Bradley, A., Playfoot, D., &amp; Harrad, R. (2022). Personality traits and stress perception as predictors of students' online engagement during the COVID-19 pandemic. Personality and Individual Differences, 194, 111645. https://doi.org/10.1016/j.paid.2022.111645</w:t>
      </w:r>
    </w:p>
    <w:p>
      <w:pPr>
        <w:spacing w:line="480" w:lineRule="auto" w:before="0" w:after="0"/>
        <w:ind w:left="720" w:hanging="720"/>
      </w:pPr>
      <w:r>
        <w:rPr>
          <w:rFonts w:ascii="Times New Roman" w:hAnsi="Times New Roman" w:eastAsia="Times New Roman"/>
          <w:sz w:val="24"/>
        </w:rPr>
        <w:t xml:space="preserve">Raudenbush, S. W. (2009). Analyzing effect sizes: Random-effects models. In H. Cooper, L. V. Hedges, &amp; J. C. Valentine (Eds.), </w:t>
      </w:r>
      <w:r>
        <w:rPr>
          <w:rFonts w:ascii="Times New Roman" w:hAnsi="Times New Roman" w:eastAsia="Times New Roman"/>
          <w:i/>
          <w:sz w:val="24"/>
        </w:rPr>
        <w:t>The handbook of research synthesis and meta-analysis</w:t>
      </w:r>
      <w:r>
        <w:rPr>
          <w:rFonts w:ascii="Times New Roman" w:hAnsi="Times New Roman" w:eastAsia="Times New Roman"/>
          <w:sz w:val="24"/>
        </w:rPr>
        <w:t xml:space="preserve"> (2nd ed., pp. 295–315). Russell Sage Foundation.</w:t>
      </w:r>
    </w:p>
    <w:p>
      <w:pPr>
        <w:spacing w:line="480" w:lineRule="auto" w:before="0" w:after="0"/>
        <w:ind w:left="720" w:hanging="720"/>
      </w:pPr>
      <w:r>
        <w:rPr>
          <w:rFonts w:ascii="Times New Roman" w:hAnsi="Times New Roman" w:eastAsia="Times New Roman"/>
          <w:sz w:val="24"/>
        </w:rPr>
        <w:t xml:space="preserve">Rivers, D. J. (2021). The role of personality traits and online academic self-efficacy in acceptance, actual use and achievement in Moodle. </w:t>
      </w:r>
      <w:r>
        <w:rPr>
          <w:rFonts w:ascii="Times New Roman" w:hAnsi="Times New Roman" w:eastAsia="Times New Roman"/>
          <w:i/>
          <w:sz w:val="24"/>
        </w:rPr>
        <w:t>Education and Information Technologies, 26</w:t>
      </w:r>
      <w:r>
        <w:rPr>
          <w:rFonts w:ascii="Times New Roman" w:hAnsi="Times New Roman" w:eastAsia="Times New Roman"/>
          <w:sz w:val="24"/>
        </w:rPr>
        <w:t>(4), 4353–4378. https://doi.org/10.1007/s10639-021-10478-3</w:t>
      </w:r>
    </w:p>
    <w:p>
      <w:pPr>
        <w:spacing w:line="480" w:lineRule="auto" w:before="0" w:after="0"/>
        <w:ind w:left="720" w:hanging="720"/>
      </w:pPr>
      <w:r>
        <w:rPr>
          <w:rFonts w:ascii="Times New Roman" w:hAnsi="Times New Roman" w:eastAsia="Times New Roman"/>
          <w:sz w:val="24"/>
        </w:rPr>
        <w:t xml:space="preserve">Rodrigues, J., Rose, R., &amp; Hewig, J. (2024). The relation of Big Five personality traits on academic performance, well-being and home study satisfaction in corona times. </w:t>
      </w:r>
      <w:r>
        <w:rPr>
          <w:rFonts w:ascii="Times New Roman" w:hAnsi="Times New Roman" w:eastAsia="Times New Roman"/>
          <w:i/>
          <w:sz w:val="24"/>
        </w:rPr>
        <w:t>European Journal of Investigation in Health, Psychology and Education, 14</w:t>
      </w:r>
      <w:r>
        <w:rPr>
          <w:rFonts w:ascii="Times New Roman" w:hAnsi="Times New Roman" w:eastAsia="Times New Roman"/>
          <w:sz w:val="24"/>
        </w:rPr>
        <w:t>(2), 368–384. https://doi.org/10.3390/ejihpe14020025</w:t>
      </w:r>
    </w:p>
    <w:p>
      <w:pPr>
        <w:spacing w:line="480" w:lineRule="auto" w:before="0" w:after="0"/>
        <w:ind w:left="720" w:hanging="720"/>
      </w:pPr>
      <w:r>
        <w:rPr>
          <w:rFonts w:ascii="Times New Roman" w:hAnsi="Times New Roman" w:eastAsia="Times New Roman"/>
          <w:sz w:val="24"/>
        </w:rPr>
        <w:t xml:space="preserve">Sahinidis, A. G., &amp; Tsaknis, P. A. (2021). Exploring the relationship of the Big Five personality traits with student satisfaction with synchronous online academic learning: The case of Covid-19-induced changes. In A. Kavoura, S. Kefallonitis, &amp; P. Theodoridis (Eds.), </w:t>
      </w:r>
      <w:r>
        <w:rPr>
          <w:rFonts w:ascii="Times New Roman" w:hAnsi="Times New Roman" w:eastAsia="Times New Roman"/>
          <w:i/>
          <w:sz w:val="24"/>
        </w:rPr>
        <w:t>Strategic Innovative Marketing and Tourism</w:t>
      </w:r>
      <w:r>
        <w:rPr>
          <w:rFonts w:ascii="Times New Roman" w:hAnsi="Times New Roman" w:eastAsia="Times New Roman"/>
          <w:sz w:val="24"/>
        </w:rPr>
        <w:t xml:space="preserve"> (pp. 116–130). Springer. https://doi.org/10.1007/978-3-030-66154-0_10</w:t>
      </w:r>
    </w:p>
    <w:p>
      <w:pPr>
        <w:spacing w:line="480" w:lineRule="auto" w:before="0" w:after="0"/>
        <w:ind w:left="720" w:hanging="720"/>
      </w:pPr>
      <w:r>
        <w:rPr>
          <w:rFonts w:ascii="Times New Roman" w:hAnsi="Times New Roman" w:eastAsia="Times New Roman"/>
          <w:sz w:val="24"/>
        </w:rPr>
        <w:t xml:space="preserve">Schünemann, H. J., Higgins, J. P. T., Vist, G. E., Glasziou, P., Akl, E. A., Skoetz, </w:t>
      </w:r>
      <w:r>
        <w:rPr>
          <w:rFonts w:ascii="Times New Roman" w:hAnsi="Times New Roman" w:eastAsia="Times New Roman"/>
          <w:i/>
          <w:sz w:val="24"/>
        </w:rPr>
        <w:t>N</w:t>
      </w:r>
      <w:r>
        <w:rPr>
          <w:rFonts w:ascii="Times New Roman" w:hAnsi="Times New Roman" w:eastAsia="Times New Roman"/>
          <w:sz w:val="24"/>
        </w:rPr>
        <w:t xml:space="preserve">., &amp; Guyatt, G. H. (2019). Chapter 14: Completing "Summary of findings" tables and grading the certainty of the evidence. In J. P. T. Higgins, J. Thomas, J. Chandler, </w:t>
      </w:r>
      <w:r>
        <w:rPr>
          <w:rFonts w:ascii="Times New Roman" w:hAnsi="Times New Roman" w:eastAsia="Times New Roman"/>
          <w:i/>
          <w:sz w:val="24"/>
        </w:rPr>
        <w:t>M</w:t>
      </w:r>
      <w:r>
        <w:rPr>
          <w:rFonts w:ascii="Times New Roman" w:hAnsi="Times New Roman" w:eastAsia="Times New Roman"/>
          <w:sz w:val="24"/>
        </w:rPr>
        <w:t xml:space="preserve">. Cumpston, T. Li, </w:t>
      </w:r>
      <w:r>
        <w:rPr>
          <w:rFonts w:ascii="Times New Roman" w:hAnsi="Times New Roman" w:eastAsia="Times New Roman"/>
          <w:i/>
          <w:sz w:val="24"/>
        </w:rPr>
        <w:t>M</w:t>
      </w:r>
      <w:r>
        <w:rPr>
          <w:rFonts w:ascii="Times New Roman" w:hAnsi="Times New Roman" w:eastAsia="Times New Roman"/>
          <w:sz w:val="24"/>
        </w:rPr>
        <w:t>. J. Page, &amp; V. A. Welch (Eds.), Cochrane handbook for systematic reviews of interventions (2nd ed.). John Wiley &amp; Sons.</w:t>
      </w:r>
    </w:p>
    <w:p>
      <w:pPr>
        <w:spacing w:line="480" w:lineRule="auto" w:before="0" w:after="0"/>
        <w:ind w:left="720" w:hanging="720"/>
      </w:pPr>
      <w:r>
        <w:rPr>
          <w:rFonts w:ascii="Times New Roman" w:hAnsi="Times New Roman" w:eastAsia="Times New Roman"/>
          <w:sz w:val="24"/>
        </w:rPr>
        <w:t xml:space="preserve">Simonsohn, U., Nelson, L. D., &amp; Simmons, J. P. (2014). P-curve: A key to the file-drawer. </w:t>
      </w:r>
      <w:r>
        <w:rPr>
          <w:rFonts w:ascii="Times New Roman" w:hAnsi="Times New Roman" w:eastAsia="Times New Roman"/>
          <w:i/>
          <w:sz w:val="24"/>
        </w:rPr>
        <w:t>Journal of Experimental Psychology: General, 143</w:t>
      </w:r>
      <w:r>
        <w:rPr>
          <w:rFonts w:ascii="Times New Roman" w:hAnsi="Times New Roman" w:eastAsia="Times New Roman"/>
          <w:sz w:val="24"/>
        </w:rPr>
        <w:t>(2), 534–547. https://doi.org/10.1037/a0033242</w:t>
      </w:r>
    </w:p>
    <w:p>
      <w:pPr>
        <w:spacing w:line="480" w:lineRule="auto" w:before="0" w:after="0"/>
        <w:ind w:left="720" w:hanging="720"/>
      </w:pPr>
      <w:r>
        <w:rPr>
          <w:rFonts w:ascii="Times New Roman" w:hAnsi="Times New Roman" w:eastAsia="Times New Roman"/>
          <w:sz w:val="24"/>
        </w:rPr>
        <w:t xml:space="preserve">Stajkovic, A. D., Bandura, A., Locke, E. A., Lee, D., &amp; Sergent, K. (2018). Test of three conceptual models of influence of the big five personality traits and self-efficacy on academic performance: A meta-analytic path-analysis. </w:t>
      </w:r>
      <w:r>
        <w:rPr>
          <w:rFonts w:ascii="Times New Roman" w:hAnsi="Times New Roman" w:eastAsia="Times New Roman"/>
          <w:i/>
          <w:sz w:val="24"/>
        </w:rPr>
        <w:t>Personality and Individual Differences, 120</w:t>
      </w:r>
      <w:r>
        <w:rPr>
          <w:rFonts w:ascii="Times New Roman" w:hAnsi="Times New Roman" w:eastAsia="Times New Roman"/>
          <w:sz w:val="24"/>
        </w:rPr>
        <w:t>, 238–245. https://doi.org/10.1016/j.paid.2017.08.014</w:t>
      </w:r>
    </w:p>
    <w:p>
      <w:pPr>
        <w:spacing w:line="480" w:lineRule="auto" w:before="0" w:after="0"/>
        <w:ind w:left="720" w:hanging="720"/>
      </w:pPr>
      <w:r>
        <w:rPr>
          <w:rFonts w:ascii="Times New Roman" w:hAnsi="Times New Roman" w:eastAsia="Times New Roman"/>
          <w:sz w:val="24"/>
        </w:rPr>
        <w:t xml:space="preserve">Tipton, E. (2015). Small sample adjustments for robust variance estimation with meta-regression. </w:t>
      </w:r>
      <w:r>
        <w:rPr>
          <w:rFonts w:ascii="Times New Roman" w:hAnsi="Times New Roman" w:eastAsia="Times New Roman"/>
          <w:i/>
          <w:sz w:val="24"/>
        </w:rPr>
        <w:t>Psychological Methods, 20</w:t>
      </w:r>
      <w:r>
        <w:rPr>
          <w:rFonts w:ascii="Times New Roman" w:hAnsi="Times New Roman" w:eastAsia="Times New Roman"/>
          <w:sz w:val="24"/>
        </w:rPr>
        <w:t>(3), 375–393. https://doi.org/10.1037/met0000011</w:t>
      </w:r>
    </w:p>
    <w:p>
      <w:pPr>
        <w:spacing w:line="480" w:lineRule="auto" w:before="0" w:after="0"/>
        <w:ind w:left="720" w:hanging="720"/>
      </w:pPr>
      <w:r>
        <w:rPr>
          <w:rFonts w:ascii="Times New Roman" w:hAnsi="Times New Roman" w:eastAsia="Times New Roman"/>
          <w:sz w:val="24"/>
        </w:rPr>
        <w:t xml:space="preserve">Tlili, A., Sun, T., Denden, </w:t>
      </w:r>
      <w:r>
        <w:rPr>
          <w:rFonts w:ascii="Times New Roman" w:hAnsi="Times New Roman" w:eastAsia="Times New Roman"/>
          <w:i/>
          <w:sz w:val="24"/>
        </w:rPr>
        <w:t>M</w:t>
      </w:r>
      <w:r>
        <w:rPr>
          <w:rFonts w:ascii="Times New Roman" w:hAnsi="Times New Roman" w:eastAsia="Times New Roman"/>
          <w:sz w:val="24"/>
        </w:rPr>
        <w:t>., Kinshuk, Graf, S., Fei, C., &amp; Wang, H. (2023). Impact of personality traits on learners' navigational behavior patterns in an online course: A lag sequential analysis approach. Frontiers in Psychology, 14, 1071985. https://doi.org/10.3389/fpsyg.2023.1071985</w:t>
      </w:r>
    </w:p>
    <w:p>
      <w:pPr>
        <w:spacing w:line="480" w:lineRule="auto" w:before="0" w:after="0"/>
        <w:ind w:left="720" w:hanging="720"/>
      </w:pPr>
      <w:r>
        <w:rPr>
          <w:rFonts w:ascii="Times New Roman" w:hAnsi="Times New Roman" w:eastAsia="Times New Roman"/>
          <w:sz w:val="24"/>
        </w:rPr>
        <w:t xml:space="preserve">Tokiwa, E. (2025). Who excels in online learning in Japan? </w:t>
      </w:r>
      <w:r>
        <w:rPr>
          <w:rFonts w:ascii="Times New Roman" w:hAnsi="Times New Roman" w:eastAsia="Times New Roman"/>
          <w:i/>
          <w:sz w:val="24"/>
        </w:rPr>
        <w:t>Frontiers in Psychology, 16</w:t>
      </w:r>
      <w:r>
        <w:rPr>
          <w:rFonts w:ascii="Times New Roman" w:hAnsi="Times New Roman" w:eastAsia="Times New Roman"/>
          <w:sz w:val="24"/>
        </w:rPr>
        <w:t>, Article 1420996. https://doi.org/10.3389/fpsyg.2025.1420996</w:t>
      </w:r>
    </w:p>
    <w:p>
      <w:pPr>
        <w:spacing w:line="480" w:lineRule="auto" w:before="0" w:after="0"/>
        <w:ind w:left="720" w:hanging="720"/>
      </w:pPr>
      <w:r>
        <w:rPr>
          <w:rFonts w:ascii="Times New Roman" w:hAnsi="Times New Roman" w:eastAsia="Times New Roman"/>
          <w:sz w:val="24"/>
        </w:rPr>
        <w:t xml:space="preserve">Vedel, A. (2014). The Big Five and tertiary academic performance: A systematic review and meta-analysis. </w:t>
      </w:r>
      <w:r>
        <w:rPr>
          <w:rFonts w:ascii="Times New Roman" w:hAnsi="Times New Roman" w:eastAsia="Times New Roman"/>
          <w:i/>
          <w:sz w:val="24"/>
        </w:rPr>
        <w:t>Personality and Individual Differences, 71</w:t>
      </w:r>
      <w:r>
        <w:rPr>
          <w:rFonts w:ascii="Times New Roman" w:hAnsi="Times New Roman" w:eastAsia="Times New Roman"/>
          <w:sz w:val="24"/>
        </w:rPr>
        <w:t>, 66–76. https://doi.org/10.1016/j.paid.2014.07.011</w:t>
      </w:r>
    </w:p>
    <w:p>
      <w:pPr>
        <w:spacing w:line="480" w:lineRule="auto" w:before="0" w:after="0"/>
        <w:ind w:left="720" w:hanging="720"/>
      </w:pPr>
      <w:r>
        <w:rPr>
          <w:rFonts w:ascii="Times New Roman" w:hAnsi="Times New Roman" w:eastAsia="Times New Roman"/>
          <w:sz w:val="24"/>
        </w:rPr>
        <w:t xml:space="preserve">Viechtbauer, W. (2010). Conducting meta-analyses in R with the metafor package. </w:t>
      </w:r>
      <w:r>
        <w:rPr>
          <w:rFonts w:ascii="Times New Roman" w:hAnsi="Times New Roman" w:eastAsia="Times New Roman"/>
          <w:i/>
          <w:sz w:val="24"/>
        </w:rPr>
        <w:t>Journal of Statistical Software, 36</w:t>
      </w:r>
      <w:r>
        <w:rPr>
          <w:rFonts w:ascii="Times New Roman" w:hAnsi="Times New Roman" w:eastAsia="Times New Roman"/>
          <w:sz w:val="24"/>
        </w:rPr>
        <w:t>(3), 1–48. https://doi.org/10.18637/jss.v036.i03</w:t>
      </w:r>
    </w:p>
    <w:p>
      <w:pPr>
        <w:spacing w:line="480" w:lineRule="auto" w:before="0" w:after="0"/>
        <w:ind w:left="720" w:hanging="720"/>
      </w:pPr>
      <w:r>
        <w:rPr>
          <w:rFonts w:ascii="Times New Roman" w:hAnsi="Times New Roman" w:eastAsia="Times New Roman"/>
          <w:sz w:val="24"/>
        </w:rPr>
        <w:t xml:space="preserve">Wang, P., Wang, </w:t>
      </w:r>
      <w:r>
        <w:rPr>
          <w:rFonts w:ascii="Times New Roman" w:hAnsi="Times New Roman" w:eastAsia="Times New Roman"/>
          <w:i/>
          <w:sz w:val="24"/>
        </w:rPr>
        <w:t>F</w:t>
      </w:r>
      <w:r>
        <w:rPr>
          <w:rFonts w:ascii="Times New Roman" w:hAnsi="Times New Roman" w:eastAsia="Times New Roman"/>
          <w:sz w:val="24"/>
        </w:rPr>
        <w:t>., &amp; Li, Z. (2023). Exploring the ecosystem of K-12 online learning: An empirical study of impact mechanisms in the post-pandemic era. Frontiers in Psychology, 14, 1241477. https://doi.org/10.3389/fpsyg.2023.1241477</w:t>
      </w:r>
    </w:p>
    <w:p>
      <w:pPr>
        <w:spacing w:line="480" w:lineRule="auto" w:before="0" w:after="0"/>
        <w:ind w:left="720" w:hanging="720"/>
      </w:pPr>
      <w:r>
        <w:rPr>
          <w:rFonts w:ascii="Times New Roman" w:hAnsi="Times New Roman" w:eastAsia="Times New Roman"/>
          <w:sz w:val="24"/>
        </w:rPr>
        <w:t xml:space="preserve">Yu, Z. (2021). The effects of gender, educational level, and personality on online learning outcomes during the COVID-19 pandemic. </w:t>
      </w:r>
      <w:r>
        <w:rPr>
          <w:rFonts w:ascii="Times New Roman" w:hAnsi="Times New Roman" w:eastAsia="Times New Roman"/>
          <w:i/>
          <w:sz w:val="24"/>
        </w:rPr>
        <w:t>International Journal of Educational Technology in Higher Education, 18</w:t>
      </w:r>
      <w:r>
        <w:rPr>
          <w:rFonts w:ascii="Times New Roman" w:hAnsi="Times New Roman" w:eastAsia="Times New Roman"/>
          <w:sz w:val="24"/>
        </w:rPr>
        <w:t>, Article 14. https://doi.org/10.1186/s41239-021-00252-3</w:t>
      </w:r>
    </w:p>
    <w:p>
      <w:pPr>
        <w:spacing w:line="480" w:lineRule="auto" w:before="0" w:after="0"/>
        <w:ind w:left="720" w:hanging="720"/>
      </w:pPr>
      <w:r>
        <w:rPr>
          <w:rFonts w:ascii="Times New Roman" w:hAnsi="Times New Roman" w:eastAsia="Times New Roman"/>
          <w:sz w:val="24"/>
        </w:rPr>
        <w:t xml:space="preserve">Zell, E., &amp; Lesick, T. L. (2022). Big five personality traits and performance: A quantitative synthesis of 50+ meta-analyses. </w:t>
      </w:r>
      <w:r>
        <w:rPr>
          <w:rFonts w:ascii="Times New Roman" w:hAnsi="Times New Roman" w:eastAsia="Times New Roman"/>
          <w:i/>
          <w:sz w:val="24"/>
        </w:rPr>
        <w:t>Journal of Personality, 90</w:t>
      </w:r>
      <w:r>
        <w:rPr>
          <w:rFonts w:ascii="Times New Roman" w:hAnsi="Times New Roman" w:eastAsia="Times New Roman"/>
          <w:sz w:val="24"/>
        </w:rPr>
        <w:t>(4), 559–573. https://doi.org/10.1111/jopy.12683</w:t>
      </w:r>
    </w:p>
    <w:p>
      <w:pPr>
        <w:spacing w:line="480" w:lineRule="auto" w:before="0" w:after="0"/>
        <w:ind w:left="720" w:hanging="720"/>
      </w:pPr>
      <w:r>
        <w:rPr>
          <w:rFonts w:ascii="Times New Roman" w:hAnsi="Times New Roman" w:eastAsia="Times New Roman"/>
          <w:sz w:val="24"/>
        </w:rPr>
        <w:t xml:space="preserve">Zheng, Y., &amp; Zheng, S. (2023). Exploring educational impacts among pre, during and post COVID-19 lockdowns from students with different personality traits. </w:t>
      </w:r>
      <w:r>
        <w:rPr>
          <w:rFonts w:ascii="Times New Roman" w:hAnsi="Times New Roman" w:eastAsia="Times New Roman"/>
          <w:i/>
          <w:sz w:val="24"/>
        </w:rPr>
        <w:t>International Journal of Educational Technology in Higher Education, 20</w:t>
      </w:r>
      <w:r>
        <w:rPr>
          <w:rFonts w:ascii="Times New Roman" w:hAnsi="Times New Roman" w:eastAsia="Times New Roman"/>
          <w:sz w:val="24"/>
        </w:rPr>
        <w:t>(1), 21. https://doi.org/10.1186/s41239-023-00388-4</w:t>
      </w:r>
    </w:p>
    <w:p>
      <w:r>
        <w:br w:type="page"/>
      </w:r>
    </w:p>
    <w:p>
      <w:pPr>
        <w:spacing w:line="480" w:lineRule="auto" w:before="0" w:after="0"/>
      </w:pPr>
      <w:r>
        <w:rPr>
          <w:rFonts w:ascii="Times New Roman" w:hAnsi="Times New Roman"/>
          <w:b/>
          <w:sz w:val="24"/>
        </w:rPr>
        <w:t>Table 1</w:t>
      </w:r>
    </w:p>
    <w:p>
      <w:pPr>
        <w:spacing w:line="480" w:lineRule="auto" w:before="0" w:after="0"/>
      </w:pPr>
      <w:r>
        <w:rPr>
          <w:rFonts w:ascii="Times New Roman" w:hAnsi="Times New Roman"/>
          <w:i/>
          <w:sz w:val="24"/>
        </w:rPr>
        <w:t>Characteristics of the 31 Included Primary Studies and Their Contributions to the Quantitative Synthesis</w:t>
      </w:r>
    </w:p>
    <w:tbl>
      <w:tblPr>
        <w:tblStyle w:val="LightGrid-Accent1"/>
        <w:tblW w:type="auto" w:w="0"/>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pPr>
              <w:spacing w:before="0" w:after="0" w:line="240" w:lineRule="auto"/>
            </w:pPr>
            <w:r>
              <w:rPr>
                <w:rFonts w:ascii="Times New Roman" w:hAnsi="Times New Roman" w:eastAsia="Times New Roman"/>
                <w:b/>
                <w:sz w:val="16"/>
              </w:rPr>
              <w:t>ID</w:t>
            </w:r>
          </w:p>
        </w:tc>
        <w:tc>
          <w:tcPr>
            <w:tcW w:type="dxa" w:w="780"/>
          </w:tcPr>
          <w:p>
            <w:pPr>
              <w:spacing w:before="0" w:after="0" w:line="240" w:lineRule="auto"/>
            </w:pPr>
            <w:r>
              <w:rPr>
                <w:rFonts w:ascii="Times New Roman" w:hAnsi="Times New Roman" w:eastAsia="Times New Roman"/>
                <w:b/>
                <w:sz w:val="16"/>
              </w:rPr>
              <w:t>Author (Year)</w:t>
            </w:r>
          </w:p>
        </w:tc>
        <w:tc>
          <w:tcPr>
            <w:tcW w:type="dxa" w:w="780"/>
          </w:tcPr>
          <w:p>
            <w:pPr>
              <w:spacing w:before="0" w:after="0" w:line="240" w:lineRule="auto"/>
            </w:pPr>
            <w:r>
              <w:rPr>
                <w:rFonts w:ascii="Times New Roman" w:hAnsi="Times New Roman" w:eastAsia="Times New Roman"/>
                <w:b/>
                <w:sz w:val="16"/>
              </w:rPr>
              <w:t>N</w:t>
            </w:r>
          </w:p>
        </w:tc>
        <w:tc>
          <w:tcPr>
            <w:tcW w:type="dxa" w:w="780"/>
          </w:tcPr>
          <w:p>
            <w:pPr>
              <w:spacing w:before="0" w:after="0" w:line="240" w:lineRule="auto"/>
            </w:pPr>
            <w:r>
              <w:rPr>
                <w:rFonts w:ascii="Times New Roman" w:hAnsi="Times New Roman" w:eastAsia="Times New Roman"/>
                <w:b/>
                <w:sz w:val="16"/>
              </w:rPr>
              <w:t>Country</w:t>
            </w:r>
          </w:p>
        </w:tc>
        <w:tc>
          <w:tcPr>
            <w:tcW w:type="dxa" w:w="780"/>
          </w:tcPr>
          <w:p>
            <w:pPr>
              <w:spacing w:before="0" w:after="0" w:line="240" w:lineRule="auto"/>
            </w:pPr>
            <w:r>
              <w:rPr>
                <w:rFonts w:ascii="Times New Roman" w:hAnsi="Times New Roman" w:eastAsia="Times New Roman"/>
                <w:b/>
                <w:sz w:val="16"/>
              </w:rPr>
              <w:t>Mode</w:t>
            </w:r>
          </w:p>
        </w:tc>
        <w:tc>
          <w:tcPr>
            <w:tcW w:type="dxa" w:w="780"/>
          </w:tcPr>
          <w:p>
            <w:pPr>
              <w:spacing w:before="0" w:after="0" w:line="240" w:lineRule="auto"/>
            </w:pPr>
            <w:r>
              <w:rPr>
                <w:rFonts w:ascii="Times New Roman" w:hAnsi="Times New Roman" w:eastAsia="Times New Roman"/>
                <w:b/>
                <w:sz w:val="16"/>
              </w:rPr>
              <w:t>Level</w:t>
            </w:r>
          </w:p>
        </w:tc>
        <w:tc>
          <w:tcPr>
            <w:tcW w:type="dxa" w:w="780"/>
          </w:tcPr>
          <w:p>
            <w:pPr>
              <w:spacing w:before="0" w:after="0" w:line="240" w:lineRule="auto"/>
            </w:pPr>
            <w:r>
              <w:rPr>
                <w:rFonts w:ascii="Times New Roman" w:hAnsi="Times New Roman" w:eastAsia="Times New Roman"/>
                <w:b/>
                <w:sz w:val="16"/>
              </w:rPr>
              <w:t>Era</w:t>
            </w:r>
          </w:p>
        </w:tc>
        <w:tc>
          <w:tcPr>
            <w:tcW w:type="dxa" w:w="780"/>
          </w:tcPr>
          <w:p>
            <w:pPr>
              <w:spacing w:before="0" w:after="0" w:line="240" w:lineRule="auto"/>
            </w:pPr>
            <w:r>
              <w:rPr>
                <w:rFonts w:ascii="Times New Roman" w:hAnsi="Times New Roman" w:eastAsia="Times New Roman"/>
                <w:b/>
                <w:sz w:val="16"/>
              </w:rPr>
              <w:t>Region</w:t>
            </w:r>
          </w:p>
        </w:tc>
        <w:tc>
          <w:tcPr>
            <w:tcW w:type="dxa" w:w="780"/>
          </w:tcPr>
          <w:p>
            <w:pPr>
              <w:spacing w:before="0" w:after="0" w:line="240" w:lineRule="auto"/>
            </w:pPr>
            <w:r>
              <w:rPr>
                <w:rFonts w:ascii="Times New Roman" w:hAnsi="Times New Roman" w:eastAsia="Times New Roman"/>
                <w:b/>
                <w:sz w:val="16"/>
              </w:rPr>
              <w:t>Instrument</w:t>
            </w:r>
          </w:p>
        </w:tc>
        <w:tc>
          <w:tcPr>
            <w:tcW w:type="dxa" w:w="780"/>
          </w:tcPr>
          <w:p>
            <w:pPr>
              <w:spacing w:before="0" w:after="0" w:line="240" w:lineRule="auto"/>
            </w:pPr>
            <w:r>
              <w:rPr>
                <w:rFonts w:ascii="Times New Roman" w:hAnsi="Times New Roman" w:eastAsia="Times New Roman"/>
                <w:b/>
                <w:sz w:val="16"/>
              </w:rPr>
              <w:t>Outcome</w:t>
            </w:r>
          </w:p>
        </w:tc>
        <w:tc>
          <w:tcPr>
            <w:tcW w:type="dxa" w:w="780"/>
          </w:tcPr>
          <w:p>
            <w:pPr>
              <w:spacing w:before="0" w:after="0" w:line="240" w:lineRule="auto"/>
            </w:pPr>
            <w:r>
              <w:rPr>
                <w:rFonts w:ascii="Times New Roman" w:hAnsi="Times New Roman" w:eastAsia="Times New Roman"/>
                <w:b/>
                <w:sz w:val="16"/>
              </w:rPr>
              <w:t>Inclusion</w:t>
            </w:r>
          </w:p>
        </w:tc>
        <w:tc>
          <w:tcPr>
            <w:tcW w:type="dxa" w:w="780"/>
          </w:tcPr>
          <w:p>
            <w:pPr>
              <w:spacing w:before="0" w:after="0" w:line="240" w:lineRule="auto"/>
            </w:pPr>
            <w:r>
              <w:rPr>
                <w:rFonts w:ascii="Times New Roman" w:hAnsi="Times New Roman" w:eastAsia="Times New Roman"/>
                <w:b/>
                <w:sz w:val="16"/>
              </w:rPr>
              <w:t>RoB</w:t>
            </w:r>
          </w:p>
        </w:tc>
      </w:tr>
      <w:tr>
        <w:tc>
          <w:tcPr>
            <w:tcW w:type="dxa" w:w="780"/>
          </w:tcPr>
          <w:p>
            <w:pPr>
              <w:spacing w:before="0" w:after="0" w:line="240" w:lineRule="auto"/>
            </w:pPr>
            <w:r>
              <w:rPr>
                <w:rFonts w:ascii="Times New Roman" w:hAnsi="Times New Roman" w:eastAsia="Times New Roman"/>
                <w:sz w:val="16"/>
              </w:rPr>
              <w:t>A-01</w:t>
            </w:r>
          </w:p>
        </w:tc>
        <w:tc>
          <w:tcPr>
            <w:tcW w:type="dxa" w:w="780"/>
          </w:tcPr>
          <w:p>
            <w:pPr>
              <w:spacing w:before="0" w:after="0" w:line="240" w:lineRule="auto"/>
            </w:pPr>
            <w:r>
              <w:rPr>
                <w:rFonts w:ascii="Times New Roman" w:hAnsi="Times New Roman" w:eastAsia="Times New Roman"/>
                <w:sz w:val="16"/>
              </w:rPr>
              <w:t>Abe (2020)</w:t>
            </w:r>
          </w:p>
        </w:tc>
        <w:tc>
          <w:tcPr>
            <w:tcW w:type="dxa" w:w="780"/>
          </w:tcPr>
          <w:p>
            <w:pPr>
              <w:spacing w:before="0" w:after="0" w:line="240" w:lineRule="auto"/>
            </w:pPr>
            <w:r>
              <w:rPr>
                <w:rFonts w:ascii="Times New Roman" w:hAnsi="Times New Roman" w:eastAsia="Times New Roman"/>
                <w:sz w:val="16"/>
              </w:rPr>
              <w:t>92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A-02</w:t>
            </w:r>
          </w:p>
        </w:tc>
        <w:tc>
          <w:tcPr>
            <w:tcW w:type="dxa" w:w="780"/>
          </w:tcPr>
          <w:p>
            <w:pPr>
              <w:spacing w:before="0" w:after="0" w:line="240" w:lineRule="auto"/>
            </w:pPr>
            <w:r>
              <w:rPr>
                <w:rFonts w:ascii="Times New Roman" w:hAnsi="Times New Roman" w:eastAsia="Times New Roman"/>
                <w:sz w:val="16"/>
              </w:rPr>
              <w:t>Alkis (2018)</w:t>
            </w:r>
          </w:p>
        </w:tc>
        <w:tc>
          <w:tcPr>
            <w:tcW w:type="dxa" w:w="780"/>
          </w:tcPr>
          <w:p>
            <w:pPr>
              <w:spacing w:before="0" w:after="0" w:line="240" w:lineRule="auto"/>
            </w:pPr>
            <w:r>
              <w:rPr>
                <w:rFonts w:ascii="Times New Roman" w:hAnsi="Times New Roman" w:eastAsia="Times New Roman"/>
                <w:sz w:val="16"/>
              </w:rPr>
              <w:t>189</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A-03</w:t>
            </w:r>
          </w:p>
        </w:tc>
        <w:tc>
          <w:tcPr>
            <w:tcW w:type="dxa" w:w="780"/>
          </w:tcPr>
          <w:p>
            <w:pPr>
              <w:spacing w:before="0" w:after="0" w:line="240" w:lineRule="auto"/>
            </w:pPr>
            <w:r>
              <w:rPr>
                <w:rFonts w:ascii="Times New Roman" w:hAnsi="Times New Roman" w:eastAsia="Times New Roman"/>
                <w:sz w:val="16"/>
              </w:rPr>
              <w:t>Ashouri (2025)</w:t>
            </w:r>
          </w:p>
        </w:tc>
        <w:tc>
          <w:tcPr>
            <w:tcW w:type="dxa" w:w="780"/>
          </w:tcPr>
          <w:p>
            <w:pPr>
              <w:spacing w:before="0" w:after="0" w:line="240" w:lineRule="auto"/>
            </w:pPr>
            <w:r>
              <w:rPr>
                <w:rFonts w:ascii="Times New Roman" w:hAnsi="Times New Roman" w:eastAsia="Times New Roman"/>
                <w:sz w:val="16"/>
              </w:rPr>
              <w:t>183</w:t>
            </w:r>
          </w:p>
        </w:tc>
        <w:tc>
          <w:tcPr>
            <w:tcW w:type="dxa" w:w="780"/>
          </w:tcPr>
          <w:p>
            <w:pPr>
              <w:spacing w:before="0" w:after="0" w:line="240" w:lineRule="auto"/>
            </w:pPr>
            <w:r>
              <w:rPr>
                <w:rFonts w:ascii="Times New Roman" w:hAnsi="Times New Roman" w:eastAsia="Times New Roman"/>
                <w:sz w:val="16"/>
              </w:rPr>
              <w:t>Iran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A-04</w:t>
            </w:r>
          </w:p>
        </w:tc>
        <w:tc>
          <w:tcPr>
            <w:tcW w:type="dxa" w:w="780"/>
          </w:tcPr>
          <w:p>
            <w:pPr>
              <w:spacing w:before="0" w:after="0" w:line="240" w:lineRule="auto"/>
            </w:pPr>
            <w:r>
              <w:rPr>
                <w:rFonts w:ascii="Times New Roman" w:hAnsi="Times New Roman" w:eastAsia="Times New Roman"/>
                <w:sz w:val="16"/>
              </w:rPr>
              <w:t>Audet (2021)</w:t>
            </w:r>
          </w:p>
        </w:tc>
        <w:tc>
          <w:tcPr>
            <w:tcW w:type="dxa" w:w="780"/>
          </w:tcPr>
          <w:p>
            <w:pPr>
              <w:spacing w:before="0" w:after="0" w:line="240" w:lineRule="auto"/>
            </w:pPr>
            <w:r>
              <w:rPr>
                <w:rFonts w:ascii="Times New Roman" w:hAnsi="Times New Roman" w:eastAsia="Times New Roman"/>
                <w:sz w:val="16"/>
              </w:rPr>
              <w:t>350</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A-05</w:t>
            </w:r>
          </w:p>
        </w:tc>
        <w:tc>
          <w:tcPr>
            <w:tcW w:type="dxa" w:w="780"/>
          </w:tcPr>
          <w:p>
            <w:pPr>
              <w:spacing w:before="0" w:after="0" w:line="240" w:lineRule="auto"/>
            </w:pPr>
            <w:r>
              <w:rPr>
                <w:rFonts w:ascii="Times New Roman" w:hAnsi="Times New Roman" w:eastAsia="Times New Roman"/>
                <w:sz w:val="16"/>
              </w:rPr>
              <w:t>Audet (2023)</w:t>
            </w:r>
          </w:p>
        </w:tc>
        <w:tc>
          <w:tcPr>
            <w:tcW w:type="dxa" w:w="780"/>
          </w:tcPr>
          <w:p>
            <w:pPr>
              <w:spacing w:before="0" w:after="0" w:line="240" w:lineRule="auto"/>
            </w:pPr>
            <w:r>
              <w:rPr>
                <w:rFonts w:ascii="Times New Roman" w:hAnsi="Times New Roman" w:eastAsia="Times New Roman"/>
                <w:sz w:val="16"/>
              </w:rPr>
              <w:t>678</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Exc-dup</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A-06</w:t>
            </w:r>
          </w:p>
        </w:tc>
        <w:tc>
          <w:tcPr>
            <w:tcW w:type="dxa" w:w="780"/>
          </w:tcPr>
          <w:p>
            <w:pPr>
              <w:spacing w:before="0" w:after="0" w:line="240" w:lineRule="auto"/>
            </w:pPr>
            <w:r>
              <w:rPr>
                <w:rFonts w:ascii="Times New Roman" w:hAnsi="Times New Roman" w:eastAsia="Times New Roman"/>
                <w:sz w:val="16"/>
              </w:rPr>
              <w:t>Sahinidis (2021)</w:t>
            </w:r>
          </w:p>
        </w:tc>
        <w:tc>
          <w:tcPr>
            <w:tcW w:type="dxa" w:w="780"/>
          </w:tcPr>
          <w:p>
            <w:pPr>
              <w:spacing w:before="0" w:after="0" w:line="240" w:lineRule="auto"/>
            </w:pPr>
            <w:r>
              <w:rPr>
                <w:rFonts w:ascii="Times New Roman" w:hAnsi="Times New Roman" w:eastAsia="Times New Roman"/>
                <w:sz w:val="16"/>
              </w:rPr>
              <w:t>555</w:t>
            </w:r>
          </w:p>
        </w:tc>
        <w:tc>
          <w:tcPr>
            <w:tcW w:type="dxa" w:w="780"/>
          </w:tcPr>
          <w:p>
            <w:pPr>
              <w:spacing w:before="0" w:after="0" w:line="240" w:lineRule="auto"/>
            </w:pPr>
            <w:r>
              <w:rPr>
                <w:rFonts w:ascii="Times New Roman" w:hAnsi="Times New Roman" w:eastAsia="Times New Roman"/>
                <w:sz w:val="16"/>
              </w:rPr>
              <w:t>Greece</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Custom 30-item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A-07</w:t>
            </w:r>
          </w:p>
        </w:tc>
        <w:tc>
          <w:tcPr>
            <w:tcW w:type="dxa" w:w="780"/>
          </w:tcPr>
          <w:p>
            <w:pPr>
              <w:spacing w:before="0" w:after="0" w:line="240" w:lineRule="auto"/>
            </w:pPr>
            <w:r>
              <w:rPr>
                <w:rFonts w:ascii="Times New Roman" w:hAnsi="Times New Roman" w:eastAsia="Times New Roman"/>
                <w:sz w:val="16"/>
              </w:rPr>
              <w:t>Cohen (2017)</w:t>
            </w:r>
          </w:p>
        </w:tc>
        <w:tc>
          <w:tcPr>
            <w:tcW w:type="dxa" w:w="780"/>
          </w:tcPr>
          <w:p>
            <w:pPr>
              <w:spacing w:before="0" w:after="0" w:line="240" w:lineRule="auto"/>
            </w:pPr>
            <w:r>
              <w:rPr>
                <w:rFonts w:ascii="Times New Roman" w:hAnsi="Times New Roman" w:eastAsia="Times New Roman"/>
                <w:sz w:val="16"/>
              </w:rPr>
              <w:t>72</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A-08</w:t>
            </w:r>
          </w:p>
        </w:tc>
        <w:tc>
          <w:tcPr>
            <w:tcW w:type="dxa" w:w="780"/>
          </w:tcPr>
          <w:p>
            <w:pPr>
              <w:spacing w:before="0" w:after="0" w:line="240" w:lineRule="auto"/>
            </w:pPr>
            <w:r>
              <w:rPr>
                <w:rFonts w:ascii="Times New Roman" w:hAnsi="Times New Roman" w:eastAsia="Times New Roman"/>
                <w:sz w:val="16"/>
              </w:rPr>
              <w:t>Keller (2013)</w:t>
            </w:r>
          </w:p>
        </w:tc>
        <w:tc>
          <w:tcPr>
            <w:tcW w:type="dxa" w:w="780"/>
          </w:tcPr>
          <w:p>
            <w:pPr>
              <w:spacing w:before="0" w:after="0" w:line="240" w:lineRule="auto"/>
            </w:pPr>
            <w:r>
              <w:rPr>
                <w:rFonts w:ascii="Times New Roman" w:hAnsi="Times New Roman" w:eastAsia="Times New Roman"/>
                <w:sz w:val="16"/>
              </w:rPr>
              <w:t>250</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IPIP-50</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A-09</w:t>
            </w:r>
          </w:p>
        </w:tc>
        <w:tc>
          <w:tcPr>
            <w:tcW w:type="dxa" w:w="780"/>
          </w:tcPr>
          <w:p>
            <w:pPr>
              <w:spacing w:before="0" w:after="0" w:line="240" w:lineRule="auto"/>
            </w:pPr>
            <w:r>
              <w:rPr>
                <w:rFonts w:ascii="Times New Roman" w:hAnsi="Times New Roman" w:eastAsia="Times New Roman"/>
                <w:sz w:val="16"/>
              </w:rPr>
              <w:t>Bhattacharjee (2025)</w:t>
            </w:r>
          </w:p>
        </w:tc>
        <w:tc>
          <w:tcPr>
            <w:tcW w:type="dxa" w:w="780"/>
          </w:tcPr>
          <w:p>
            <w:pPr>
              <w:spacing w:before="0" w:after="0" w:line="240" w:lineRule="auto"/>
            </w:pPr>
            <w:r>
              <w:rPr>
                <w:rFonts w:ascii="Times New Roman" w:hAnsi="Times New Roman" w:eastAsia="Times New Roman"/>
                <w:sz w:val="16"/>
              </w:rPr>
              <w:t>384</w:t>
            </w:r>
          </w:p>
        </w:tc>
        <w:tc>
          <w:tcPr>
            <w:tcW w:type="dxa" w:w="780"/>
          </w:tcPr>
          <w:p>
            <w:pPr>
              <w:spacing w:before="0" w:after="0" w:line="240" w:lineRule="auto"/>
            </w:pPr>
            <w:r>
              <w:rPr>
                <w:rFonts w:ascii="Times New Roman" w:hAnsi="Times New Roman" w:eastAsia="Times New Roman"/>
                <w:sz w:val="16"/>
              </w:rPr>
              <w:t>India</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A-10</w:t>
            </w:r>
          </w:p>
        </w:tc>
        <w:tc>
          <w:tcPr>
            <w:tcW w:type="dxa" w:w="780"/>
          </w:tcPr>
          <w:p>
            <w:pPr>
              <w:spacing w:before="0" w:after="0" w:line="240" w:lineRule="auto"/>
            </w:pPr>
            <w:r>
              <w:rPr>
                <w:rFonts w:ascii="Times New Roman" w:hAnsi="Times New Roman" w:eastAsia="Times New Roman"/>
                <w:sz w:val="16"/>
              </w:rPr>
              <w:t>Boonyapison (2025)</w:t>
            </w:r>
          </w:p>
        </w:tc>
        <w:tc>
          <w:tcPr>
            <w:tcW w:type="dxa" w:w="780"/>
          </w:tcPr>
          <w:p>
            <w:pPr>
              <w:spacing w:before="0" w:after="0" w:line="240" w:lineRule="auto"/>
            </w:pPr>
            <w:r>
              <w:rPr>
                <w:rFonts w:ascii="Times New Roman" w:hAnsi="Times New Roman" w:eastAsia="Times New Roman"/>
                <w:sz w:val="16"/>
              </w:rPr>
              <w:t>203</w:t>
            </w:r>
          </w:p>
        </w:tc>
        <w:tc>
          <w:tcPr>
            <w:tcW w:type="dxa" w:w="780"/>
          </w:tcPr>
          <w:p>
            <w:pPr>
              <w:spacing w:before="0" w:after="0" w:line="240" w:lineRule="auto"/>
            </w:pPr>
            <w:r>
              <w:rPr>
                <w:rFonts w:ascii="Times New Roman" w:hAnsi="Times New Roman" w:eastAsia="Times New Roman"/>
                <w:sz w:val="16"/>
              </w:rPr>
              <w:t>Thailand</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A-11</w:t>
            </w:r>
          </w:p>
        </w:tc>
        <w:tc>
          <w:tcPr>
            <w:tcW w:type="dxa" w:w="780"/>
          </w:tcPr>
          <w:p>
            <w:pPr>
              <w:spacing w:before="0" w:after="0" w:line="240" w:lineRule="auto"/>
            </w:pPr>
            <w:r>
              <w:rPr>
                <w:rFonts w:ascii="Times New Roman" w:hAnsi="Times New Roman" w:eastAsia="Times New Roman"/>
                <w:sz w:val="16"/>
              </w:rPr>
              <w:t>Cheng (2023)</w:t>
            </w:r>
          </w:p>
        </w:tc>
        <w:tc>
          <w:tcPr>
            <w:tcW w:type="dxa" w:w="780"/>
          </w:tcPr>
          <w:p>
            <w:pPr>
              <w:spacing w:before="0" w:after="0" w:line="240" w:lineRule="auto"/>
            </w:pPr>
            <w:r>
              <w:rPr>
                <w:rFonts w:ascii="Times New Roman" w:hAnsi="Times New Roman" w:eastAsia="Times New Roman"/>
                <w:sz w:val="16"/>
              </w:rPr>
              <w:t>746</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Sec/Post</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BFI_C_only</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A-12</w:t>
            </w:r>
          </w:p>
        </w:tc>
        <w:tc>
          <w:tcPr>
            <w:tcW w:type="dxa" w:w="780"/>
          </w:tcPr>
          <w:p>
            <w:pPr>
              <w:spacing w:before="0" w:after="0" w:line="240" w:lineRule="auto"/>
            </w:pPr>
            <w:r>
              <w:rPr>
                <w:rFonts w:ascii="Times New Roman" w:hAnsi="Times New Roman" w:eastAsia="Times New Roman"/>
                <w:sz w:val="16"/>
              </w:rPr>
              <w:t>Baruth (2023)</w:t>
            </w:r>
          </w:p>
        </w:tc>
        <w:tc>
          <w:tcPr>
            <w:tcW w:type="dxa" w:w="780"/>
          </w:tcPr>
          <w:p>
            <w:pPr>
              <w:spacing w:before="0" w:after="0" w:line="240" w:lineRule="auto"/>
            </w:pPr>
            <w:r>
              <w:rPr>
                <w:rFonts w:ascii="Times New Roman" w:hAnsi="Times New Roman" w:eastAsia="Times New Roman"/>
                <w:sz w:val="16"/>
              </w:rPr>
              <w:t>108</w:t>
            </w:r>
          </w:p>
        </w:tc>
        <w:tc>
          <w:tcPr>
            <w:tcW w:type="dxa" w:w="780"/>
          </w:tcPr>
          <w:p>
            <w:pPr>
              <w:spacing w:before="0" w:after="0" w:line="240" w:lineRule="auto"/>
            </w:pPr>
            <w:r>
              <w:rPr>
                <w:rFonts w:ascii="Times New Roman" w:hAnsi="Times New Roman" w:eastAsia="Times New Roman"/>
                <w:sz w:val="16"/>
              </w:rPr>
              <w:t>Israel</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BFI-44 Hebrew</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A-13</w:t>
            </w:r>
          </w:p>
        </w:tc>
        <w:tc>
          <w:tcPr>
            <w:tcW w:type="dxa" w:w="780"/>
          </w:tcPr>
          <w:p>
            <w:pPr>
              <w:spacing w:before="0" w:after="0" w:line="240" w:lineRule="auto"/>
            </w:pPr>
            <w:r>
              <w:rPr>
                <w:rFonts w:ascii="Times New Roman" w:hAnsi="Times New Roman" w:eastAsia="Times New Roman"/>
                <w:sz w:val="16"/>
              </w:rPr>
              <w:t>Dang (2025)</w:t>
            </w:r>
          </w:p>
        </w:tc>
        <w:tc>
          <w:tcPr>
            <w:tcW w:type="dxa" w:w="780"/>
          </w:tcPr>
          <w:p>
            <w:pPr>
              <w:spacing w:before="0" w:after="0" w:line="240" w:lineRule="auto"/>
            </w:pPr>
            <w:r>
              <w:rPr>
                <w:rFonts w:ascii="Times New Roman" w:hAnsi="Times New Roman" w:eastAsia="Times New Roman"/>
                <w:sz w:val="16"/>
              </w:rPr>
              <w:t>235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NEO-FFI_Chinese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A-15</w:t>
            </w:r>
          </w:p>
        </w:tc>
        <w:tc>
          <w:tcPr>
            <w:tcW w:type="dxa" w:w="780"/>
          </w:tcPr>
          <w:p>
            <w:pPr>
              <w:spacing w:before="0" w:after="0" w:line="240" w:lineRule="auto"/>
            </w:pPr>
            <w:r>
              <w:rPr>
                <w:rFonts w:ascii="Times New Roman" w:hAnsi="Times New Roman" w:eastAsia="Times New Roman"/>
                <w:sz w:val="16"/>
              </w:rPr>
              <w:t>Elvers (2003)</w:t>
            </w:r>
          </w:p>
        </w:tc>
        <w:tc>
          <w:tcPr>
            <w:tcW w:type="dxa" w:w="780"/>
          </w:tcPr>
          <w:p>
            <w:pPr>
              <w:spacing w:before="0" w:after="0" w:line="240" w:lineRule="auto"/>
            </w:pPr>
            <w:r>
              <w:rPr>
                <w:rFonts w:ascii="Times New Roman" w:hAnsi="Times New Roman" w:eastAsia="Times New Roman"/>
                <w:sz w:val="16"/>
              </w:rPr>
              <w:t>47</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NEO-FFI</w:t>
            </w:r>
          </w:p>
        </w:tc>
        <w:tc>
          <w:tcPr>
            <w:tcW w:type="dxa" w:w="780"/>
          </w:tcPr>
          <w:p>
            <w:pPr>
              <w:spacing w:before="0" w:after="0" w:line="240" w:lineRule="auto"/>
            </w:pPr>
            <w:r>
              <w:rPr>
                <w:rFonts w:ascii="Times New Roman" w:hAnsi="Times New Roman" w:eastAsia="Times New Roman"/>
                <w:sz w:val="16"/>
              </w:rPr>
              <w:t>procrastination_exam</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A-16</w:t>
            </w:r>
          </w:p>
        </w:tc>
        <w:tc>
          <w:tcPr>
            <w:tcW w:type="dxa" w:w="780"/>
          </w:tcPr>
          <w:p>
            <w:pPr>
              <w:spacing w:before="0" w:after="0" w:line="240" w:lineRule="auto"/>
            </w:pPr>
            <w:r>
              <w:rPr>
                <w:rFonts w:ascii="Times New Roman" w:hAnsi="Times New Roman" w:eastAsia="Times New Roman"/>
                <w:sz w:val="16"/>
              </w:rPr>
              <w:t>Hidalgo-Fuentes (2024)</w:t>
            </w:r>
          </w:p>
        </w:tc>
        <w:tc>
          <w:tcPr>
            <w:tcW w:type="dxa" w:w="780"/>
          </w:tcPr>
          <w:p>
            <w:pPr>
              <w:spacing w:before="0" w:after="0" w:line="240" w:lineRule="auto"/>
            </w:pPr>
            <w:r>
              <w:rPr>
                <w:rFonts w:ascii="Times New Roman" w:hAnsi="Times New Roman" w:eastAsia="Times New Roman"/>
                <w:sz w:val="16"/>
              </w:rPr>
              <w:t>457</w:t>
            </w:r>
          </w:p>
        </w:tc>
        <w:tc>
          <w:tcPr>
            <w:tcW w:type="dxa" w:w="780"/>
          </w:tcPr>
          <w:p>
            <w:pPr>
              <w:spacing w:before="0" w:after="0" w:line="240" w:lineRule="auto"/>
            </w:pPr>
            <w:r>
              <w:rPr>
                <w:rFonts w:ascii="Times New Roman" w:hAnsi="Times New Roman" w:eastAsia="Times New Roman"/>
                <w:sz w:val="16"/>
              </w:rPr>
              <w:t>Honduras+Spain</w:t>
            </w:r>
          </w:p>
        </w:tc>
        <w:tc>
          <w:tcPr>
            <w:tcW w:type="dxa" w:w="780"/>
          </w:tcPr>
          <w:p>
            <w:pPr>
              <w:spacing w:before="0" w:after="0" w:line="240" w:lineRule="auto"/>
            </w:pPr>
            <w:r>
              <w:rPr>
                <w:rFonts w:ascii="Times New Roman" w:hAnsi="Times New Roman" w:eastAsia="Times New Roman"/>
                <w:sz w:val="16"/>
              </w:rPr>
              <w:t>FtF</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BFI-2-S</w:t>
            </w:r>
          </w:p>
        </w:tc>
        <w:tc>
          <w:tcPr>
            <w:tcW w:type="dxa" w:w="780"/>
          </w:tcPr>
          <w:p>
            <w:pPr>
              <w:spacing w:before="0" w:after="0" w:line="240" w:lineRule="auto"/>
            </w:pPr>
            <w:r>
              <w:rPr>
                <w:rFonts w:ascii="Times New Roman" w:hAnsi="Times New Roman" w:eastAsia="Times New Roman"/>
                <w:sz w:val="16"/>
              </w:rPr>
              <w:t>procrastination</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A-17</w:t>
            </w:r>
          </w:p>
        </w:tc>
        <w:tc>
          <w:tcPr>
            <w:tcW w:type="dxa" w:w="780"/>
          </w:tcPr>
          <w:p>
            <w:pPr>
              <w:spacing w:before="0" w:after="0" w:line="240" w:lineRule="auto"/>
            </w:pPr>
            <w:r>
              <w:rPr>
                <w:rFonts w:ascii="Times New Roman" w:hAnsi="Times New Roman" w:eastAsia="Times New Roman"/>
                <w:sz w:val="16"/>
              </w:rPr>
              <w:t>Kara (2024)</w:t>
            </w:r>
          </w:p>
        </w:tc>
        <w:tc>
          <w:tcPr>
            <w:tcW w:type="dxa" w:w="780"/>
          </w:tcPr>
          <w:p>
            <w:pPr>
              <w:spacing w:before="0" w:after="0" w:line="240" w:lineRule="auto"/>
            </w:pPr>
            <w:r>
              <w:rPr>
                <w:rFonts w:ascii="Times New Roman" w:hAnsi="Times New Roman" w:eastAsia="Times New Roman"/>
                <w:sz w:val="16"/>
              </w:rPr>
              <w:t>437</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A-18</w:t>
            </w:r>
          </w:p>
        </w:tc>
        <w:tc>
          <w:tcPr>
            <w:tcW w:type="dxa" w:w="780"/>
          </w:tcPr>
          <w:p>
            <w:pPr>
              <w:spacing w:before="0" w:after="0" w:line="240" w:lineRule="auto"/>
            </w:pPr>
            <w:r>
              <w:rPr>
                <w:rFonts w:ascii="Times New Roman" w:hAnsi="Times New Roman" w:eastAsia="Times New Roman"/>
                <w:sz w:val="16"/>
              </w:rPr>
              <w:t>Bhagat (2019)</w:t>
            </w:r>
          </w:p>
        </w:tc>
        <w:tc>
          <w:tcPr>
            <w:tcW w:type="dxa" w:w="780"/>
          </w:tcPr>
          <w:p>
            <w:pPr>
              <w:spacing w:before="0" w:after="0" w:line="240" w:lineRule="auto"/>
            </w:pPr>
            <w:r>
              <w:rPr>
                <w:rFonts w:ascii="Times New Roman" w:hAnsi="Times New Roman" w:eastAsia="Times New Roman"/>
                <w:sz w:val="16"/>
              </w:rPr>
              <w:t>208</w:t>
            </w:r>
          </w:p>
        </w:tc>
        <w:tc>
          <w:tcPr>
            <w:tcW w:type="dxa" w:w="780"/>
          </w:tcPr>
          <w:p>
            <w:pPr>
              <w:spacing w:before="0" w:after="0" w:line="240" w:lineRule="auto"/>
            </w:pPr>
            <w:r>
              <w:rPr>
                <w:rFonts w:ascii="Times New Roman" w:hAnsi="Times New Roman" w:eastAsia="Times New Roman"/>
                <w:sz w:val="16"/>
              </w:rPr>
              <w:t>Taiwan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Mini-IPIP</w:t>
            </w:r>
          </w:p>
        </w:tc>
        <w:tc>
          <w:tcPr>
            <w:tcW w:type="dxa" w:w="780"/>
          </w:tcPr>
          <w:p>
            <w:pPr>
              <w:spacing w:before="0" w:after="0" w:line="240" w:lineRule="auto"/>
            </w:pPr>
            <w:r>
              <w:rPr>
                <w:rFonts w:ascii="Times New Roman" w:hAnsi="Times New Roman" w:eastAsia="Times New Roman"/>
                <w:sz w:val="16"/>
              </w:rPr>
              <w:t>perception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A-19</w:t>
            </w:r>
          </w:p>
        </w:tc>
        <w:tc>
          <w:tcPr>
            <w:tcW w:type="dxa" w:w="780"/>
          </w:tcPr>
          <w:p>
            <w:pPr>
              <w:spacing w:before="0" w:after="0" w:line="240" w:lineRule="auto"/>
            </w:pPr>
            <w:r>
              <w:rPr>
                <w:rFonts w:ascii="Times New Roman" w:hAnsi="Times New Roman" w:eastAsia="Times New Roman"/>
                <w:sz w:val="16"/>
              </w:rPr>
              <w:t>MacLean (2022)</w:t>
            </w:r>
          </w:p>
        </w:tc>
        <w:tc>
          <w:tcPr>
            <w:tcW w:type="dxa" w:w="780"/>
          </w:tcPr>
          <w:p>
            <w:pPr>
              <w:spacing w:before="0" w:after="0" w:line="240" w:lineRule="auto"/>
            </w:pPr>
            <w:r>
              <w:rPr>
                <w:rFonts w:ascii="Times New Roman" w:hAnsi="Times New Roman" w:eastAsia="Times New Roman"/>
                <w:sz w:val="16"/>
              </w:rPr>
              <w:t>465</w:t>
            </w:r>
          </w:p>
        </w:tc>
        <w:tc>
          <w:tcPr>
            <w:tcW w:type="dxa" w:w="780"/>
          </w:tcPr>
          <w:p>
            <w:pPr>
              <w:spacing w:before="0" w:after="0" w:line="240" w:lineRule="auto"/>
            </w:pPr>
            <w:r>
              <w:rPr>
                <w:rFonts w:ascii="Times New Roman" w:hAnsi="Times New Roman" w:eastAsia="Times New Roman"/>
                <w:sz w:val="16"/>
              </w:rPr>
              <w:t>Canada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HEXACO-PI-R</w:t>
            </w:r>
          </w:p>
        </w:tc>
        <w:tc>
          <w:tcPr>
            <w:tcW w:type="dxa" w:w="780"/>
          </w:tcPr>
          <w:p>
            <w:pPr>
              <w:spacing w:before="0" w:after="0" w:line="240" w:lineRule="auto"/>
            </w:pPr>
            <w:r>
              <w:rPr>
                <w:rFonts w:ascii="Times New Roman" w:hAnsi="Times New Roman" w:eastAsia="Times New Roman"/>
                <w:sz w:val="16"/>
              </w:rPr>
              <w:t>preference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A-20</w:t>
            </w:r>
          </w:p>
        </w:tc>
        <w:tc>
          <w:tcPr>
            <w:tcW w:type="dxa" w:w="780"/>
          </w:tcPr>
          <w:p>
            <w:pPr>
              <w:spacing w:before="0" w:after="0" w:line="240" w:lineRule="auto"/>
            </w:pPr>
            <w:r>
              <w:rPr>
                <w:rFonts w:ascii="Times New Roman" w:hAnsi="Times New Roman" w:eastAsia="Times New Roman"/>
                <w:sz w:val="16"/>
              </w:rPr>
              <w:t>Mustafa (2022)</w:t>
            </w:r>
          </w:p>
        </w:tc>
        <w:tc>
          <w:tcPr>
            <w:tcW w:type="dxa" w:w="780"/>
          </w:tcPr>
          <w:p>
            <w:pPr>
              <w:spacing w:before="0" w:after="0" w:line="240" w:lineRule="auto"/>
            </w:pPr>
            <w:r>
              <w:rPr>
                <w:rFonts w:ascii="Times New Roman" w:hAnsi="Times New Roman" w:eastAsia="Times New Roman"/>
                <w:sz w:val="16"/>
              </w:rPr>
              <w:t>718</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satisfaction</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A-21</w:t>
            </w:r>
          </w:p>
        </w:tc>
        <w:tc>
          <w:tcPr>
            <w:tcW w:type="dxa" w:w="780"/>
          </w:tcPr>
          <w:p>
            <w:pPr>
              <w:spacing w:before="0" w:after="0" w:line="240" w:lineRule="auto"/>
            </w:pPr>
            <w:r>
              <w:rPr>
                <w:rFonts w:ascii="Times New Roman" w:hAnsi="Times New Roman" w:eastAsia="Times New Roman"/>
                <w:sz w:val="16"/>
              </w:rPr>
              <w:t>Nakayama (2014)</w:t>
            </w:r>
          </w:p>
        </w:tc>
        <w:tc>
          <w:tcPr>
            <w:tcW w:type="dxa" w:w="780"/>
          </w:tcPr>
          <w:p>
            <w:pPr>
              <w:spacing w:before="0" w:after="0" w:line="240" w:lineRule="auto"/>
            </w:pPr>
            <w:r>
              <w:rPr>
                <w:rFonts w:ascii="Times New Roman" w:hAnsi="Times New Roman" w:eastAsia="Times New Roman"/>
                <w:sz w:val="16"/>
              </w:rPr>
              <w:t>53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IPIP</w:t>
            </w:r>
          </w:p>
        </w:tc>
        <w:tc>
          <w:tcPr>
            <w:tcW w:type="dxa" w:w="780"/>
          </w:tcPr>
          <w:p>
            <w:pPr>
              <w:spacing w:before="0" w:after="0" w:line="240" w:lineRule="auto"/>
            </w:pPr>
            <w:r>
              <w:rPr>
                <w:rFonts w:ascii="Times New Roman" w:hAnsi="Times New Roman" w:eastAsia="Times New Roman"/>
                <w:sz w:val="16"/>
              </w:rPr>
              <w:t>test_score</w:t>
            </w:r>
          </w:p>
        </w:tc>
        <w:tc>
          <w:tcPr>
            <w:tcW w:type="dxa" w:w="780"/>
          </w:tcPr>
          <w:p>
            <w:pPr>
              <w:spacing w:before="0" w:after="0" w:line="240" w:lineRule="auto"/>
            </w:pPr>
            <w:r>
              <w:rPr>
                <w:rFonts w:ascii="Times New Roman" w:hAnsi="Times New Roman" w:eastAsia="Times New Roman"/>
                <w:sz w:val="16"/>
              </w:rPr>
              <w:t>Inc-sec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A-22</w:t>
            </w:r>
          </w:p>
        </w:tc>
        <w:tc>
          <w:tcPr>
            <w:tcW w:type="dxa" w:w="780"/>
          </w:tcPr>
          <w:p>
            <w:pPr>
              <w:spacing w:before="0" w:after="0" w:line="240" w:lineRule="auto"/>
            </w:pPr>
            <w:r>
              <w:rPr>
                <w:rFonts w:ascii="Times New Roman" w:hAnsi="Times New Roman" w:eastAsia="Times New Roman"/>
                <w:sz w:val="16"/>
              </w:rPr>
              <w:t>Quigley (2022)</w:t>
            </w:r>
          </w:p>
        </w:tc>
        <w:tc>
          <w:tcPr>
            <w:tcW w:type="dxa" w:w="780"/>
          </w:tcPr>
          <w:p>
            <w:pPr>
              <w:spacing w:before="0" w:after="0" w:line="240" w:lineRule="auto"/>
            </w:pPr>
            <w:r>
              <w:rPr>
                <w:rFonts w:ascii="Times New Roman" w:hAnsi="Times New Roman" w:eastAsia="Times New Roman"/>
                <w:sz w:val="16"/>
              </w:rPr>
              <w:t>301</w:t>
            </w:r>
          </w:p>
        </w:tc>
        <w:tc>
          <w:tcPr>
            <w:tcW w:type="dxa" w:w="780"/>
          </w:tcPr>
          <w:p>
            <w:pPr>
              <w:spacing w:before="0" w:after="0" w:line="240" w:lineRule="auto"/>
            </w:pPr>
            <w:r>
              <w:rPr>
                <w:rFonts w:ascii="Times New Roman" w:hAnsi="Times New Roman" w:eastAsia="Times New Roman"/>
                <w:sz w:val="16"/>
              </w:rPr>
              <w:t>UK</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engagement_performance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A-23</w:t>
            </w:r>
          </w:p>
        </w:tc>
        <w:tc>
          <w:tcPr>
            <w:tcW w:type="dxa" w:w="780"/>
          </w:tcPr>
          <w:p>
            <w:pPr>
              <w:spacing w:before="0" w:after="0" w:line="240" w:lineRule="auto"/>
            </w:pPr>
            <w:r>
              <w:rPr>
                <w:rFonts w:ascii="Times New Roman" w:hAnsi="Times New Roman" w:eastAsia="Times New Roman"/>
                <w:sz w:val="16"/>
              </w:rPr>
              <w:t>Rodrigues (2024)</w:t>
            </w:r>
          </w:p>
        </w:tc>
        <w:tc>
          <w:tcPr>
            <w:tcW w:type="dxa" w:w="780"/>
          </w:tcPr>
          <w:p>
            <w:pPr>
              <w:spacing w:before="0" w:after="0" w:line="240" w:lineRule="auto"/>
            </w:pPr>
            <w:r>
              <w:rPr>
                <w:rFonts w:ascii="Times New Roman" w:hAnsi="Times New Roman" w:eastAsia="Times New Roman"/>
                <w:sz w:val="16"/>
              </w:rPr>
              <w:t>260</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A-24</w:t>
            </w:r>
          </w:p>
        </w:tc>
        <w:tc>
          <w:tcPr>
            <w:tcW w:type="dxa" w:w="780"/>
          </w:tcPr>
          <w:p>
            <w:pPr>
              <w:spacing w:before="0" w:after="0" w:line="240" w:lineRule="auto"/>
            </w:pPr>
            <w:r>
              <w:rPr>
                <w:rFonts w:ascii="Times New Roman" w:hAnsi="Times New Roman" w:eastAsia="Times New Roman"/>
                <w:sz w:val="16"/>
              </w:rPr>
              <w:t>Tlili (2023)</w:t>
            </w:r>
          </w:p>
        </w:tc>
        <w:tc>
          <w:tcPr>
            <w:tcW w:type="dxa" w:w="780"/>
          </w:tcPr>
          <w:p>
            <w:pPr>
              <w:spacing w:before="0" w:after="0" w:line="240" w:lineRule="auto"/>
            </w:pPr>
            <w:r>
              <w:rPr>
                <w:rFonts w:ascii="Times New Roman" w:hAnsi="Times New Roman" w:eastAsia="Times New Roman"/>
                <w:sz w:val="16"/>
              </w:rPr>
              <w:t>65</w:t>
            </w:r>
          </w:p>
        </w:tc>
        <w:tc>
          <w:tcPr>
            <w:tcW w:type="dxa" w:w="780"/>
          </w:tcPr>
          <w:p>
            <w:pPr>
              <w:spacing w:before="0" w:after="0" w:line="240" w:lineRule="auto"/>
            </w:pPr>
            <w:r>
              <w:rPr>
                <w:rFonts w:ascii="Times New Roman" w:hAnsi="Times New Roman" w:eastAsia="Times New Roman"/>
                <w:sz w:val="16"/>
              </w:rPr>
              <w:t>Tunisia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Other</w:t>
            </w:r>
          </w:p>
        </w:tc>
        <w:tc>
          <w:tcPr>
            <w:tcW w:type="dxa" w:w="780"/>
          </w:tcPr>
          <w:p>
            <w:pPr>
              <w:spacing w:before="0" w:after="0" w:line="240" w:lineRule="auto"/>
            </w:pPr>
            <w:r>
              <w:rPr>
                <w:rFonts w:ascii="Times New Roman" w:hAnsi="Times New Roman" w:eastAsia="Times New Roman"/>
                <w:sz w:val="16"/>
              </w:rPr>
              <w:t>BFI-44</w:t>
            </w:r>
          </w:p>
        </w:tc>
        <w:tc>
          <w:tcPr>
            <w:tcW w:type="dxa" w:w="780"/>
          </w:tcPr>
          <w:p>
            <w:pPr>
              <w:spacing w:before="0" w:after="0" w:line="240" w:lineRule="auto"/>
            </w:pPr>
            <w:r>
              <w:rPr>
                <w:rFonts w:ascii="Times New Roman" w:hAnsi="Times New Roman" w:eastAsia="Times New Roman"/>
                <w:sz w:val="16"/>
              </w:rPr>
              <w:t>navigational_behavior</w:t>
            </w:r>
          </w:p>
        </w:tc>
        <w:tc>
          <w:tcPr>
            <w:tcW w:type="dxa" w:w="780"/>
          </w:tcPr>
          <w:p>
            <w:pPr>
              <w:spacing w:before="0" w:after="0" w:line="240" w:lineRule="auto"/>
            </w:pPr>
            <w:r>
              <w:rPr>
                <w:rFonts w:ascii="Times New Roman" w:hAnsi="Times New Roman" w:eastAsia="Times New Roman"/>
                <w:sz w:val="16"/>
              </w:rPr>
              <w:t>Exc</w:t>
            </w:r>
          </w:p>
        </w:tc>
        <w:tc>
          <w:tcPr>
            <w:tcW w:type="dxa" w:w="780"/>
          </w:tcPr>
          <w:p>
            <w:pPr>
              <w:spacing w:before="0" w:after="0" w:line="240" w:lineRule="auto"/>
            </w:pPr>
            <w:r>
              <w:rPr>
                <w:rFonts w:ascii="Times New Roman" w:hAnsi="Times New Roman" w:eastAsia="Times New Roman"/>
                <w:sz w:val="16"/>
              </w:rPr>
              <w:t>4</w:t>
            </w:r>
          </w:p>
        </w:tc>
      </w:tr>
      <w:tr>
        <w:tc>
          <w:tcPr>
            <w:tcW w:type="dxa" w:w="780"/>
          </w:tcPr>
          <w:p>
            <w:pPr>
              <w:spacing w:before="0" w:after="0" w:line="240" w:lineRule="auto"/>
            </w:pPr>
            <w:r>
              <w:rPr>
                <w:rFonts w:ascii="Times New Roman" w:hAnsi="Times New Roman" w:eastAsia="Times New Roman"/>
                <w:sz w:val="16"/>
              </w:rPr>
              <w:t>A-25</w:t>
            </w:r>
          </w:p>
        </w:tc>
        <w:tc>
          <w:tcPr>
            <w:tcW w:type="dxa" w:w="780"/>
          </w:tcPr>
          <w:p>
            <w:pPr>
              <w:spacing w:before="0" w:after="0" w:line="240" w:lineRule="auto"/>
            </w:pPr>
            <w:r>
              <w:rPr>
                <w:rFonts w:ascii="Times New Roman" w:hAnsi="Times New Roman" w:eastAsia="Times New Roman"/>
                <w:sz w:val="16"/>
              </w:rPr>
              <w:t>Tokiwa (2025)</w:t>
            </w:r>
          </w:p>
        </w:tc>
        <w:tc>
          <w:tcPr>
            <w:tcW w:type="dxa" w:w="780"/>
          </w:tcPr>
          <w:p>
            <w:pPr>
              <w:spacing w:before="0" w:after="0" w:line="240" w:lineRule="auto"/>
            </w:pPr>
            <w:r>
              <w:rPr>
                <w:rFonts w:ascii="Times New Roman" w:hAnsi="Times New Roman" w:eastAsia="Times New Roman"/>
                <w:sz w:val="16"/>
              </w:rPr>
              <w:t>103</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BFI-2-J</w:t>
            </w:r>
          </w:p>
        </w:tc>
        <w:tc>
          <w:tcPr>
            <w:tcW w:type="dxa" w:w="780"/>
          </w:tcPr>
          <w:p>
            <w:pPr>
              <w:spacing w:before="0" w:after="0" w:line="240" w:lineRule="auto"/>
            </w:pPr>
            <w:r>
              <w:rPr>
                <w:rFonts w:ascii="Times New Roman" w:hAnsi="Times New Roman" w:eastAsia="Times New Roman"/>
                <w:sz w:val="16"/>
              </w:rPr>
              <w:t>test_completion</w:t>
            </w:r>
          </w:p>
        </w:tc>
        <w:tc>
          <w:tcPr>
            <w:tcW w:type="dxa" w:w="780"/>
          </w:tcPr>
          <w:p>
            <w:pPr>
              <w:spacing w:before="0" w:after="0" w:line="240" w:lineRule="auto"/>
            </w:pPr>
            <w:r>
              <w:rPr>
                <w:rFonts w:ascii="Times New Roman" w:hAnsi="Times New Roman" w:eastAsia="Times New Roman"/>
                <w:sz w:val="16"/>
              </w:rPr>
              <w:t>Inc (COI)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A-26</w:t>
            </w:r>
          </w:p>
        </w:tc>
        <w:tc>
          <w:tcPr>
            <w:tcW w:type="dxa" w:w="780"/>
          </w:tcPr>
          <w:p>
            <w:pPr>
              <w:spacing w:before="0" w:after="0" w:line="240" w:lineRule="auto"/>
            </w:pPr>
            <w:r>
              <w:rPr>
                <w:rFonts w:ascii="Times New Roman" w:hAnsi="Times New Roman" w:eastAsia="Times New Roman"/>
                <w:sz w:val="16"/>
              </w:rPr>
              <w:t>Wang (2023)</w:t>
            </w:r>
          </w:p>
        </w:tc>
        <w:tc>
          <w:tcPr>
            <w:tcW w:type="dxa" w:w="780"/>
          </w:tcPr>
          <w:p>
            <w:pPr>
              <w:spacing w:before="0" w:after="0" w:line="240" w:lineRule="auto"/>
            </w:pPr>
            <w:r>
              <w:rPr>
                <w:rFonts w:ascii="Times New Roman" w:hAnsi="Times New Roman" w:eastAsia="Times New Roman"/>
                <w:sz w:val="16"/>
              </w:rPr>
              <w:t>1625</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K-12</w:t>
            </w:r>
          </w:p>
        </w:tc>
        <w:tc>
          <w:tcPr>
            <w:tcW w:type="dxa" w:w="780"/>
          </w:tcPr>
          <w:p>
            <w:pPr>
              <w:spacing w:before="0" w:after="0" w:line="240" w:lineRule="auto"/>
            </w:pPr>
            <w:r>
              <w:rPr>
                <w:rFonts w:ascii="Times New Roman" w:hAnsi="Times New Roman" w:eastAsia="Times New Roman"/>
                <w:sz w:val="16"/>
              </w:rPr>
              <w:t>post-COVID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Chinese Big Five</w:t>
            </w:r>
          </w:p>
        </w:tc>
        <w:tc>
          <w:tcPr>
            <w:tcW w:type="dxa" w:w="780"/>
          </w:tcPr>
          <w:p>
            <w:pPr>
              <w:spacing w:before="0" w:after="0" w:line="240" w:lineRule="auto"/>
            </w:pPr>
            <w:r>
              <w:rPr>
                <w:rFonts w:ascii="Times New Roman" w:hAnsi="Times New Roman" w:eastAsia="Times New Roman"/>
                <w:sz w:val="16"/>
              </w:rPr>
              <w:t>achievement_self_report</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A-27</w:t>
            </w:r>
          </w:p>
        </w:tc>
        <w:tc>
          <w:tcPr>
            <w:tcW w:type="dxa" w:w="780"/>
          </w:tcPr>
          <w:p>
            <w:pPr>
              <w:spacing w:before="0" w:after="0" w:line="240" w:lineRule="auto"/>
            </w:pPr>
            <w:r>
              <w:rPr>
                <w:rFonts w:ascii="Times New Roman" w:hAnsi="Times New Roman" w:eastAsia="Times New Roman"/>
                <w:sz w:val="16"/>
              </w:rPr>
              <w:t>Wu_Yu (2024)</w:t>
            </w:r>
          </w:p>
        </w:tc>
        <w:tc>
          <w:tcPr>
            <w:tcW w:type="dxa" w:w="780"/>
          </w:tcPr>
          <w:p>
            <w:pPr>
              <w:spacing w:before="0" w:after="0" w:line="240" w:lineRule="auto"/>
            </w:pPr>
            <w:r>
              <w:rPr>
                <w:rFonts w:ascii="Times New Roman" w:hAnsi="Times New Roman" w:eastAsia="Times New Roman"/>
                <w:sz w:val="16"/>
              </w:rPr>
              <w:t>1004</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e_learning</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Big Five</w:t>
            </w:r>
          </w:p>
        </w:tc>
        <w:tc>
          <w:tcPr>
            <w:tcW w:type="dxa" w:w="780"/>
          </w:tcPr>
          <w:p>
            <w:pPr>
              <w:spacing w:before="0" w:after="0" w:line="240" w:lineRule="auto"/>
            </w:pPr>
            <w:r>
              <w:rPr>
                <w:rFonts w:ascii="Times New Roman" w:hAnsi="Times New Roman" w:eastAsia="Times New Roman"/>
                <w:sz w:val="16"/>
              </w:rPr>
              <w:t>engagement</w:t>
            </w:r>
          </w:p>
        </w:tc>
        <w:tc>
          <w:tcPr>
            <w:tcW w:type="dxa" w:w="780"/>
          </w:tcPr>
          <w:p>
            <w:pPr>
              <w:spacing w:before="0" w:after="0" w:line="240" w:lineRule="auto"/>
            </w:pPr>
            <w:r>
              <w:rPr>
                <w:rFonts w:ascii="Times New Roman" w:hAnsi="Times New Roman" w:eastAsia="Times New Roman"/>
                <w:sz w:val="16"/>
              </w:rPr>
              <w:t>—</w:t>
            </w:r>
          </w:p>
        </w:tc>
        <w:tc>
          <w:tcPr>
            <w:tcW w:type="dxa" w:w="780"/>
          </w:tcPr>
          <w:p>
            <w:pPr>
              <w:spacing w:before="0" w:after="0" w:line="240" w:lineRule="auto"/>
            </w:pPr>
            <w:r>
              <w:rPr>
                <w:rFonts w:ascii="Times New Roman" w:hAnsi="Times New Roman" w:eastAsia="Times New Roman"/>
                <w:sz w:val="16"/>
              </w:rPr>
              <w:t>—</w:t>
            </w:r>
          </w:p>
        </w:tc>
      </w:tr>
      <w:tr>
        <w:tc>
          <w:tcPr>
            <w:tcW w:type="dxa" w:w="780"/>
          </w:tcPr>
          <w:p>
            <w:pPr>
              <w:spacing w:before="0" w:after="0" w:line="240" w:lineRule="auto"/>
            </w:pPr>
            <w:r>
              <w:rPr>
                <w:rFonts w:ascii="Times New Roman" w:hAnsi="Times New Roman" w:eastAsia="Times New Roman"/>
                <w:sz w:val="16"/>
              </w:rPr>
              <w:t>A-28</w:t>
            </w:r>
          </w:p>
        </w:tc>
        <w:tc>
          <w:tcPr>
            <w:tcW w:type="dxa" w:w="780"/>
          </w:tcPr>
          <w:p>
            <w:pPr>
              <w:spacing w:before="0" w:after="0" w:line="240" w:lineRule="auto"/>
            </w:pPr>
            <w:r>
              <w:rPr>
                <w:rFonts w:ascii="Times New Roman" w:hAnsi="Times New Roman" w:eastAsia="Times New Roman"/>
                <w:sz w:val="16"/>
              </w:rPr>
              <w:t>Yu (2021)</w:t>
            </w:r>
          </w:p>
        </w:tc>
        <w:tc>
          <w:tcPr>
            <w:tcW w:type="dxa" w:w="780"/>
          </w:tcPr>
          <w:p>
            <w:pPr>
              <w:spacing w:before="0" w:after="0" w:line="240" w:lineRule="auto"/>
            </w:pPr>
            <w:r>
              <w:rPr>
                <w:rFonts w:ascii="Times New Roman" w:hAnsi="Times New Roman" w:eastAsia="Times New Roman"/>
                <w:sz w:val="16"/>
              </w:rPr>
              <w:t>1152</w:t>
            </w:r>
          </w:p>
        </w:tc>
        <w:tc>
          <w:tcPr>
            <w:tcW w:type="dxa" w:w="780"/>
          </w:tcPr>
          <w:p>
            <w:pPr>
              <w:spacing w:before="0" w:after="0" w:line="240" w:lineRule="auto"/>
            </w:pPr>
            <w:r>
              <w:rPr>
                <w:rFonts w:ascii="Times New Roman" w:hAnsi="Times New Roman" w:eastAsia="Times New Roman"/>
                <w:sz w:val="16"/>
              </w:rPr>
              <w:t>China</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Big Five Scale (McCrae)</w:t>
            </w:r>
          </w:p>
        </w:tc>
        <w:tc>
          <w:tcPr>
            <w:tcW w:type="dxa" w:w="780"/>
          </w:tcPr>
          <w:p>
            <w:pPr>
              <w:spacing w:before="0" w:after="0" w:line="240" w:lineRule="auto"/>
            </w:pPr>
            <w:r>
              <w:rPr>
                <w:rFonts w:ascii="Times New Roman" w:hAnsi="Times New Roman" w:eastAsia="Times New Roman"/>
                <w:sz w:val="16"/>
              </w:rPr>
              <w:t>MOOC_composite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7</w:t>
            </w:r>
          </w:p>
        </w:tc>
      </w:tr>
      <w:tr>
        <w:tc>
          <w:tcPr>
            <w:tcW w:type="dxa" w:w="780"/>
          </w:tcPr>
          <w:p>
            <w:pPr>
              <w:spacing w:before="0" w:after="0" w:line="240" w:lineRule="auto"/>
            </w:pPr>
            <w:r>
              <w:rPr>
                <w:rFonts w:ascii="Times New Roman" w:hAnsi="Times New Roman" w:eastAsia="Times New Roman"/>
                <w:sz w:val="16"/>
              </w:rPr>
              <w:t>A-29</w:t>
            </w:r>
          </w:p>
        </w:tc>
        <w:tc>
          <w:tcPr>
            <w:tcW w:type="dxa" w:w="780"/>
          </w:tcPr>
          <w:p>
            <w:pPr>
              <w:spacing w:before="0" w:after="0" w:line="240" w:lineRule="auto"/>
            </w:pPr>
            <w:r>
              <w:rPr>
                <w:rFonts w:ascii="Times New Roman" w:hAnsi="Times New Roman" w:eastAsia="Times New Roman"/>
                <w:sz w:val="16"/>
              </w:rPr>
              <w:t>Bahcekapili (2020)</w:t>
            </w:r>
          </w:p>
        </w:tc>
        <w:tc>
          <w:tcPr>
            <w:tcW w:type="dxa" w:w="780"/>
          </w:tcPr>
          <w:p>
            <w:pPr>
              <w:spacing w:before="0" w:after="0" w:line="240" w:lineRule="auto"/>
            </w:pPr>
            <w:r>
              <w:rPr>
                <w:rFonts w:ascii="Times New Roman" w:hAnsi="Times New Roman" w:eastAsia="Times New Roman"/>
                <w:sz w:val="16"/>
              </w:rPr>
              <w:t>525</w:t>
            </w:r>
          </w:p>
        </w:tc>
        <w:tc>
          <w:tcPr>
            <w:tcW w:type="dxa" w:w="780"/>
          </w:tcPr>
          <w:p>
            <w:pPr>
              <w:spacing w:before="0" w:after="0" w:line="240" w:lineRule="auto"/>
            </w:pPr>
            <w:r>
              <w:rPr>
                <w:rFonts w:ascii="Times New Roman" w:hAnsi="Times New Roman" w:eastAsia="Times New Roman"/>
                <w:sz w:val="16"/>
              </w:rPr>
              <w:t>Turkey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pre-COVID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BFI-44 Turkish</w:t>
            </w:r>
          </w:p>
        </w:tc>
        <w:tc>
          <w:tcPr>
            <w:tcW w:type="dxa" w:w="780"/>
          </w:tcPr>
          <w:p>
            <w:pPr>
              <w:spacing w:before="0" w:after="0" w:line="240" w:lineRule="auto"/>
            </w:pPr>
            <w:r>
              <w:rPr>
                <w:rFonts w:ascii="Times New Roman" w:hAnsi="Times New Roman" w:eastAsia="Times New Roman"/>
                <w:sz w:val="16"/>
              </w:rPr>
              <w:t>GPA</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A-30</w:t>
            </w:r>
          </w:p>
        </w:tc>
        <w:tc>
          <w:tcPr>
            <w:tcW w:type="dxa" w:w="780"/>
          </w:tcPr>
          <w:p>
            <w:pPr>
              <w:spacing w:before="0" w:after="0" w:line="240" w:lineRule="auto"/>
            </w:pPr>
            <w:r>
              <w:rPr>
                <w:rFonts w:ascii="Times New Roman" w:hAnsi="Times New Roman" w:eastAsia="Times New Roman"/>
                <w:sz w:val="16"/>
              </w:rPr>
              <w:t>Kaspar (2023)</w:t>
            </w:r>
          </w:p>
        </w:tc>
        <w:tc>
          <w:tcPr>
            <w:tcW w:type="dxa" w:w="780"/>
          </w:tcPr>
          <w:p>
            <w:pPr>
              <w:spacing w:before="0" w:after="0" w:line="240" w:lineRule="auto"/>
            </w:pPr>
            <w:r>
              <w:rPr>
                <w:rFonts w:ascii="Times New Roman" w:hAnsi="Times New Roman" w:eastAsia="Times New Roman"/>
                <w:sz w:val="16"/>
              </w:rPr>
              <w:t>413</w:t>
            </w:r>
          </w:p>
        </w:tc>
        <w:tc>
          <w:tcPr>
            <w:tcW w:type="dxa" w:w="780"/>
          </w:tcPr>
          <w:p>
            <w:pPr>
              <w:spacing w:before="0" w:after="0" w:line="240" w:lineRule="auto"/>
            </w:pPr>
            <w:r>
              <w:rPr>
                <w:rFonts w:ascii="Times New Roman" w:hAnsi="Times New Roman" w:eastAsia="Times New Roman"/>
                <w:sz w:val="16"/>
              </w:rPr>
              <w:t>Germany</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UG/Grad</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Europe</w:t>
            </w:r>
          </w:p>
        </w:tc>
        <w:tc>
          <w:tcPr>
            <w:tcW w:type="dxa" w:w="780"/>
          </w:tcPr>
          <w:p>
            <w:pPr>
              <w:spacing w:before="0" w:after="0" w:line="240" w:lineRule="auto"/>
            </w:pPr>
            <w:r>
              <w:rPr>
                <w:rFonts w:ascii="Times New Roman" w:hAnsi="Times New Roman" w:eastAsia="Times New Roman"/>
                <w:sz w:val="16"/>
              </w:rPr>
              <w:t>BFI-S German</w:t>
            </w:r>
          </w:p>
        </w:tc>
        <w:tc>
          <w:tcPr>
            <w:tcW w:type="dxa" w:w="780"/>
          </w:tcPr>
          <w:p>
            <w:pPr>
              <w:spacing w:before="0" w:after="0" w:line="240" w:lineRule="auto"/>
            </w:pPr>
            <w:r>
              <w:rPr>
                <w:rFonts w:ascii="Times New Roman" w:hAnsi="Times New Roman" w:eastAsia="Times New Roman"/>
                <w:sz w:val="16"/>
              </w:rPr>
              <w:t>performance_self_rated</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5</w:t>
            </w:r>
          </w:p>
        </w:tc>
      </w:tr>
      <w:tr>
        <w:tc>
          <w:tcPr>
            <w:tcW w:type="dxa" w:w="780"/>
          </w:tcPr>
          <w:p>
            <w:pPr>
              <w:spacing w:before="0" w:after="0" w:line="240" w:lineRule="auto"/>
            </w:pPr>
            <w:r>
              <w:rPr>
                <w:rFonts w:ascii="Times New Roman" w:hAnsi="Times New Roman" w:eastAsia="Times New Roman"/>
                <w:sz w:val="16"/>
              </w:rPr>
              <w:t>A-31</w:t>
            </w:r>
          </w:p>
        </w:tc>
        <w:tc>
          <w:tcPr>
            <w:tcW w:type="dxa" w:w="780"/>
          </w:tcPr>
          <w:p>
            <w:pPr>
              <w:spacing w:before="0" w:after="0" w:line="240" w:lineRule="auto"/>
            </w:pPr>
            <w:r>
              <w:rPr>
                <w:rFonts w:ascii="Times New Roman" w:hAnsi="Times New Roman" w:eastAsia="Times New Roman"/>
                <w:sz w:val="16"/>
              </w:rPr>
              <w:t>Rivers (2021)</w:t>
            </w:r>
          </w:p>
        </w:tc>
        <w:tc>
          <w:tcPr>
            <w:tcW w:type="dxa" w:w="780"/>
          </w:tcPr>
          <w:p>
            <w:pPr>
              <w:spacing w:before="0" w:after="0" w:line="240" w:lineRule="auto"/>
            </w:pPr>
            <w:r>
              <w:rPr>
                <w:rFonts w:ascii="Times New Roman" w:hAnsi="Times New Roman" w:eastAsia="Times New Roman"/>
                <w:sz w:val="16"/>
              </w:rPr>
              <w:t>149</w:t>
            </w:r>
          </w:p>
        </w:tc>
        <w:tc>
          <w:tcPr>
            <w:tcW w:type="dxa" w:w="780"/>
          </w:tcPr>
          <w:p>
            <w:pPr>
              <w:spacing w:before="0" w:after="0" w:line="240" w:lineRule="auto"/>
            </w:pPr>
            <w:r>
              <w:rPr>
                <w:rFonts w:ascii="Times New Roman" w:hAnsi="Times New Roman" w:eastAsia="Times New Roman"/>
                <w:sz w:val="16"/>
              </w:rPr>
              <w:t>Japan</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UG</w:t>
            </w:r>
          </w:p>
        </w:tc>
        <w:tc>
          <w:tcPr>
            <w:tcW w:type="dxa" w:w="780"/>
          </w:tcPr>
          <w:p>
            <w:pPr>
              <w:spacing w:before="0" w:after="0" w:line="240" w:lineRule="auto"/>
            </w:pPr>
            <w:r>
              <w:rPr>
                <w:rFonts w:ascii="Times New Roman" w:hAnsi="Times New Roman" w:eastAsia="Times New Roman"/>
                <w:sz w:val="16"/>
              </w:rPr>
              <w:t>COVID</w:t>
            </w:r>
          </w:p>
        </w:tc>
        <w:tc>
          <w:tcPr>
            <w:tcW w:type="dxa" w:w="780"/>
          </w:tcPr>
          <w:p>
            <w:pPr>
              <w:spacing w:before="0" w:after="0" w:line="240" w:lineRule="auto"/>
            </w:pPr>
            <w:r>
              <w:rPr>
                <w:rFonts w:ascii="Times New Roman" w:hAnsi="Times New Roman" w:eastAsia="Times New Roman"/>
                <w:sz w:val="16"/>
              </w:rPr>
              <w:t>Asia</w:t>
            </w:r>
          </w:p>
        </w:tc>
        <w:tc>
          <w:tcPr>
            <w:tcW w:type="dxa" w:w="780"/>
          </w:tcPr>
          <w:p>
            <w:pPr>
              <w:spacing w:before="0" w:after="0" w:line="240" w:lineRule="auto"/>
            </w:pPr>
            <w:r>
              <w:rPr>
                <w:rFonts w:ascii="Times New Roman" w:hAnsi="Times New Roman" w:eastAsia="Times New Roman"/>
                <w:sz w:val="16"/>
              </w:rPr>
              <w:t>TIPI-J</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6</w:t>
            </w:r>
          </w:p>
        </w:tc>
      </w:tr>
      <w:tr>
        <w:tc>
          <w:tcPr>
            <w:tcW w:type="dxa" w:w="780"/>
          </w:tcPr>
          <w:p>
            <w:pPr>
              <w:spacing w:before="0" w:after="0" w:line="240" w:lineRule="auto"/>
            </w:pPr>
            <w:r>
              <w:rPr>
                <w:rFonts w:ascii="Times New Roman" w:hAnsi="Times New Roman" w:eastAsia="Times New Roman"/>
                <w:sz w:val="16"/>
              </w:rPr>
              <w:t>A-37</w:t>
            </w:r>
          </w:p>
        </w:tc>
        <w:tc>
          <w:tcPr>
            <w:tcW w:type="dxa" w:w="780"/>
          </w:tcPr>
          <w:p>
            <w:pPr>
              <w:spacing w:before="0" w:after="0" w:line="240" w:lineRule="auto"/>
            </w:pPr>
            <w:r>
              <w:rPr>
                <w:rFonts w:ascii="Times New Roman" w:hAnsi="Times New Roman" w:eastAsia="Times New Roman"/>
                <w:sz w:val="16"/>
              </w:rPr>
              <w:t>Zheng (2023)</w:t>
            </w:r>
          </w:p>
        </w:tc>
        <w:tc>
          <w:tcPr>
            <w:tcW w:type="dxa" w:w="780"/>
          </w:tcPr>
          <w:p>
            <w:pPr>
              <w:spacing w:before="0" w:after="0" w:line="240" w:lineRule="auto"/>
            </w:pPr>
            <w:r>
              <w:rPr>
                <w:rFonts w:ascii="Times New Roman" w:hAnsi="Times New Roman" w:eastAsia="Times New Roman"/>
                <w:sz w:val="16"/>
              </w:rPr>
              <w:t>282</w:t>
            </w:r>
          </w:p>
        </w:tc>
        <w:tc>
          <w:tcPr>
            <w:tcW w:type="dxa" w:w="780"/>
          </w:tcPr>
          <w:p>
            <w:pPr>
              <w:spacing w:before="0" w:after="0" w:line="240" w:lineRule="auto"/>
            </w:pPr>
            <w:r>
              <w:rPr>
                <w:rFonts w:ascii="Times New Roman" w:hAnsi="Times New Roman" w:eastAsia="Times New Roman"/>
                <w:sz w:val="16"/>
              </w:rPr>
              <w:t>US</w:t>
            </w:r>
          </w:p>
        </w:tc>
        <w:tc>
          <w:tcPr>
            <w:tcW w:type="dxa" w:w="780"/>
          </w:tcPr>
          <w:p>
            <w:pPr>
              <w:spacing w:before="0" w:after="0" w:line="240" w:lineRule="auto"/>
            </w:pPr>
            <w:r>
              <w:rPr>
                <w:rFonts w:ascii="Times New Roman" w:hAnsi="Times New Roman" w:eastAsia="Times New Roman"/>
                <w:sz w:val="16"/>
              </w:rPr>
              <w:t>Online</w:t>
            </w:r>
          </w:p>
        </w:tc>
        <w:tc>
          <w:tcPr>
            <w:tcW w:type="dxa" w:w="780"/>
          </w:tcPr>
          <w:p>
            <w:pPr>
              <w:spacing w:before="0" w:after="0" w:line="240" w:lineRule="auto"/>
            </w:pPr>
            <w:r>
              <w:rPr>
                <w:rFonts w:ascii="Times New Roman" w:hAnsi="Times New Roman" w:eastAsia="Times New Roman"/>
                <w:sz w:val="16"/>
              </w:rPr>
              <w:t>Grad</w:t>
            </w:r>
          </w:p>
        </w:tc>
        <w:tc>
          <w:tcPr>
            <w:tcW w:type="dxa" w:w="780"/>
          </w:tcPr>
          <w:p>
            <w:pPr>
              <w:spacing w:before="0" w:after="0" w:line="240" w:lineRule="auto"/>
            </w:pPr>
            <w:r>
              <w:rPr>
                <w:rFonts w:ascii="Times New Roman" w:hAnsi="Times New Roman" w:eastAsia="Times New Roman"/>
                <w:sz w:val="16"/>
              </w:rPr>
              <w:t>Mixed_3era</w:t>
            </w:r>
          </w:p>
        </w:tc>
        <w:tc>
          <w:tcPr>
            <w:tcW w:type="dxa" w:w="780"/>
          </w:tcPr>
          <w:p>
            <w:pPr>
              <w:spacing w:before="0" w:after="0" w:line="240" w:lineRule="auto"/>
            </w:pPr>
            <w:r>
              <w:rPr>
                <w:rFonts w:ascii="Times New Roman" w:hAnsi="Times New Roman" w:eastAsia="Times New Roman"/>
                <w:sz w:val="16"/>
              </w:rPr>
              <w:t>North_America</w:t>
            </w:r>
          </w:p>
        </w:tc>
        <w:tc>
          <w:tcPr>
            <w:tcW w:type="dxa" w:w="780"/>
          </w:tcPr>
          <w:p>
            <w:pPr>
              <w:spacing w:before="0" w:after="0" w:line="240" w:lineRule="auto"/>
            </w:pPr>
            <w:r>
              <w:rPr>
                <w:rFonts w:ascii="Times New Roman" w:hAnsi="Times New Roman" w:eastAsia="Times New Roman"/>
                <w:sz w:val="16"/>
              </w:rPr>
              <w:t>TIPI</w:t>
            </w:r>
          </w:p>
        </w:tc>
        <w:tc>
          <w:tcPr>
            <w:tcW w:type="dxa" w:w="780"/>
          </w:tcPr>
          <w:p>
            <w:pPr>
              <w:spacing w:before="0" w:after="0" w:line="240" w:lineRule="auto"/>
            </w:pPr>
            <w:r>
              <w:rPr>
                <w:rFonts w:ascii="Times New Roman" w:hAnsi="Times New Roman" w:eastAsia="Times New Roman"/>
                <w:sz w:val="16"/>
              </w:rPr>
              <w:t>course_grade</w:t>
            </w:r>
          </w:p>
        </w:tc>
        <w:tc>
          <w:tcPr>
            <w:tcW w:type="dxa" w:w="780"/>
          </w:tcPr>
          <w:p>
            <w:pPr>
              <w:spacing w:before="0" w:after="0" w:line="240" w:lineRule="auto"/>
            </w:pPr>
            <w:r>
              <w:rPr>
                <w:rFonts w:ascii="Times New Roman" w:hAnsi="Times New Roman" w:eastAsia="Times New Roman"/>
                <w:sz w:val="16"/>
              </w:rPr>
              <w:t>Inc-pri*</w:t>
            </w:r>
          </w:p>
        </w:tc>
        <w:tc>
          <w:tcPr>
            <w:tcW w:type="dxa" w:w="780"/>
          </w:tcPr>
          <w:p>
            <w:pPr>
              <w:spacing w:before="0" w:after="0" w:line="240" w:lineRule="auto"/>
            </w:pPr>
            <w:r>
              <w:rPr>
                <w:rFonts w:ascii="Times New Roman" w:hAnsi="Times New Roman" w:eastAsia="Times New Roman"/>
                <w:sz w:val="16"/>
              </w:rPr>
              <w:t>4</w:t>
            </w:r>
          </w:p>
        </w:tc>
      </w:tr>
    </w:tbl>
    <w:p>
      <w:pPr>
        <w:spacing w:line="480" w:lineRule="auto" w:before="0" w:after="0"/>
      </w:pPr>
      <w:r>
        <w:rPr>
          <w:rFonts w:ascii="Times New Roman" w:hAnsi="Times New Roman" w:eastAsia="Times New Roman"/>
          <w:sz w:val="24"/>
        </w:rPr>
        <w:t xml:space="preserve">Note. ID = study identifier in the deep-reading-notes ledger (A-XX sequence). </w:t>
      </w:r>
      <w:r>
        <w:rPr>
          <w:rFonts w:ascii="Times New Roman" w:hAnsi="Times New Roman" w:eastAsia="Times New Roman"/>
          <w:i/>
          <w:sz w:val="24"/>
        </w:rPr>
        <w:t>N</w:t>
      </w:r>
      <w:r>
        <w:rPr>
          <w:rFonts w:ascii="Times New Roman" w:hAnsi="Times New Roman" w:eastAsia="Times New Roman"/>
          <w:sz w:val="24"/>
        </w:rPr>
        <w:t xml:space="preserve"> = analytic sample size. Mode (modality): Online = fully online; FtF = face-to-face (excluded at modality screening); Mixed = blended or mode-comparing design; Online* = mode not explicitly specified in the source. Level (education level): UG = undergraduate; Grad = graduate; UG/Grad = mixed undergraduate-graduate; K-12 = elementary through high school; Sec/Post = mixed secondary-postsecondary. Era: pre-COVID ≤ 2019; COVID = 2020–2022; post-COVID ≥ 2023. Region: classified per country of data collection. Instrument: abbreviated personality inventory label. Outcome: abbreviated outcome construct. Inclusion column groups studies into three tiers: (1) QUANTITATIVE PRIMARY POOL (</w:t>
      </w:r>
      <w:r>
        <w:rPr>
          <w:rFonts w:ascii="Times New Roman" w:hAnsi="Times New Roman" w:eastAsia="Times New Roman"/>
          <w:i/>
          <w:sz w:val="24"/>
        </w:rPr>
        <w:t>k</w:t>
      </w:r>
      <w:r>
        <w:rPr>
          <w:rFonts w:ascii="Times New Roman" w:hAnsi="Times New Roman" w:eastAsia="Times New Roman"/>
          <w:sz w:val="24"/>
        </w:rPr>
        <w:t xml:space="preserve"> = 10) — Inc-pri = included in primary achievement pool with direct r; Inc-pri* = included with caveat (β-converted, partial trait coverage, or conditional outcome proxy); Inc (COI) = included with conflict-of-interest flag (author's own prior study, sensitivity analysis excludes). (2) QUALITATIVE / SECONDARY SYNTHESIS (retained for narrative) — Inc-sec = retained in the systematic review for secondary outcomes (satisfaction, engagement, preference, perception) but no extractable </w:t>
      </w:r>
      <w:r>
        <w:rPr>
          <w:rFonts w:ascii="Times New Roman" w:hAnsi="Times New Roman" w:eastAsia="Times New Roman"/>
          <w:i/>
          <w:sz w:val="24"/>
        </w:rPr>
        <w:t>r</w:t>
      </w:r>
      <w:r>
        <w:rPr>
          <w:rFonts w:ascii="Times New Roman" w:hAnsi="Times New Roman" w:eastAsia="Times New Roman"/>
          <w:sz w:val="24"/>
        </w:rPr>
        <w:t xml:space="preserve"> for the primary achievement pool. (3) EXCLUDED POST-ELIGIBILITY (documented for PRISMA transparency, NOT in synthesis) — Exc = excluded at eligibility (face-to-face modality, or no extractable effect size); Exc-dup = excluded due to sample overlap with an already-included study; — = PDF could not be retrieved. The 31 catalogued studies decompose as: 10 primary + 15 secondary = 25 retained, plus 6 documented post-eligibility exclusions. RoB = aggregate score on the Joanna Briggs Institute 8-item critical appraisal checklist (0–8; higher = lower risk). A-14 Eilam (2009) and A-27 Wu &amp; Yu (2024) are omitted from the table because the former was excluded at the modality screening stage (face-to-face) and the latter was not available as a retrievable PDF; both are disclosed in the PRISMA flow (Figure 1). Author-correction notes for studies whose original bibliographic metadata differed from the verified author, year, or country (A-06, A-07, A-08, A-12, A-13, A-16, A-18, A-20) are provided in the OSF project (Supplementary Material).</w:t>
      </w:r>
    </w:p>
    <w:p>
      <w:r>
        <w:br w:type="page"/>
      </w:r>
    </w:p>
    <w:p>
      <w:pPr>
        <w:spacing w:line="480" w:lineRule="auto" w:before="0" w:after="0"/>
      </w:pPr>
      <w:r>
        <w:rPr>
          <w:rFonts w:ascii="Times New Roman" w:hAnsi="Times New Roman"/>
          <w:b/>
          <w:sz w:val="24"/>
        </w:rPr>
        <w:t>Table 2</w:t>
      </w:r>
    </w:p>
    <w:p>
      <w:pPr>
        <w:spacing w:line="480" w:lineRule="auto" w:before="0" w:after="0"/>
      </w:pPr>
      <w:r>
        <w:rPr>
          <w:rFonts w:ascii="Times New Roman" w:hAnsi="Times New Roman"/>
          <w:i/>
          <w:sz w:val="24"/>
        </w:rPr>
        <w:t>Random-Effects Pooled Correlations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before="0" w:after="0" w:line="276" w:lineRule="auto"/>
            </w:pPr>
            <w:r>
              <w:rPr>
                <w:rFonts w:ascii="Times New Roman" w:hAnsi="Times New Roman" w:eastAsia="Times New Roman"/>
                <w:b/>
                <w:sz w:val="20"/>
              </w:rPr>
              <w:t>Trait</w:t>
            </w:r>
          </w:p>
        </w:tc>
        <w:tc>
          <w:tcPr>
            <w:tcW w:type="dxa" w:w="1040"/>
          </w:tcPr>
          <w:p>
            <w:pPr>
              <w:spacing w:before="0" w:after="0" w:line="276" w:lineRule="auto"/>
            </w:pPr>
            <w:r>
              <w:rPr>
                <w:rFonts w:ascii="Times New Roman" w:hAnsi="Times New Roman" w:eastAsia="Times New Roman"/>
                <w:b/>
                <w:sz w:val="20"/>
              </w:rPr>
              <w:t>k</w:t>
            </w:r>
          </w:p>
        </w:tc>
        <w:tc>
          <w:tcPr>
            <w:tcW w:type="dxa" w:w="1040"/>
          </w:tcPr>
          <w:p>
            <w:pPr>
              <w:spacing w:before="0" w:after="0" w:line="276" w:lineRule="auto"/>
            </w:pPr>
            <w:r>
              <w:rPr>
                <w:rFonts w:ascii="Times New Roman" w:hAnsi="Times New Roman" w:eastAsia="Times New Roman"/>
                <w:b/>
                <w:sz w:val="20"/>
              </w:rPr>
              <w:t>N</w:t>
            </w:r>
          </w:p>
        </w:tc>
        <w:tc>
          <w:tcPr>
            <w:tcW w:type="dxa" w:w="1040"/>
          </w:tcPr>
          <w:p>
            <w:pPr>
              <w:spacing w:before="0" w:after="0" w:line="276" w:lineRule="auto"/>
            </w:pPr>
            <w:r>
              <w:rPr>
                <w:rFonts w:ascii="Times New Roman" w:hAnsi="Times New Roman" w:eastAsia="Times New Roman"/>
                <w:b/>
                <w:sz w:val="20"/>
              </w:rPr>
              <w:t>r</w:t>
            </w:r>
          </w:p>
        </w:tc>
        <w:tc>
          <w:tcPr>
            <w:tcW w:type="dxa" w:w="1040"/>
          </w:tcPr>
          <w:p>
            <w:pPr>
              <w:spacing w:before="0" w:after="0" w:line="276" w:lineRule="auto"/>
            </w:pPr>
            <w:r>
              <w:rPr>
                <w:rFonts w:ascii="Times New Roman" w:hAnsi="Times New Roman" w:eastAsia="Times New Roman"/>
                <w:b/>
                <w:sz w:val="20"/>
              </w:rPr>
              <w:t>95% CI</w:t>
            </w:r>
          </w:p>
        </w:tc>
        <w:tc>
          <w:tcPr>
            <w:tcW w:type="dxa" w:w="1040"/>
          </w:tcPr>
          <w:p>
            <w:pPr>
              <w:spacing w:before="0" w:after="0" w:line="276" w:lineRule="auto"/>
            </w:pPr>
            <w:r>
              <w:rPr>
                <w:rFonts w:ascii="Times New Roman" w:hAnsi="Times New Roman" w:eastAsia="Times New Roman"/>
                <w:b/>
                <w:sz w:val="20"/>
              </w:rPr>
              <w:t>95% PI</w:t>
            </w:r>
          </w:p>
        </w:tc>
        <w:tc>
          <w:tcPr>
            <w:tcW w:type="dxa" w:w="1040"/>
          </w:tcPr>
          <w:p>
            <w:pPr>
              <w:spacing w:before="0" w:after="0" w:line="276" w:lineRule="auto"/>
            </w:pPr>
            <w:r>
              <w:rPr>
                <w:rFonts w:ascii="Times New Roman" w:hAnsi="Times New Roman" w:eastAsia="Times New Roman"/>
                <w:b/>
                <w:sz w:val="20"/>
              </w:rPr>
              <w:t>I²</w:t>
            </w:r>
          </w:p>
        </w:tc>
        <w:tc>
          <w:tcPr>
            <w:tcW w:type="dxa" w:w="1040"/>
          </w:tcPr>
          <w:p>
            <w:pPr>
              <w:spacing w:before="0" w:after="0" w:line="276" w:lineRule="auto"/>
            </w:pPr>
            <w:r>
              <w:rPr>
                <w:rFonts w:ascii="Times New Roman" w:hAnsi="Times New Roman" w:eastAsia="Times New Roman"/>
                <w:b/>
                <w:sz w:val="20"/>
              </w:rPr>
              <w:t>τ²</w:t>
            </w:r>
          </w:p>
        </w:tc>
        <w:tc>
          <w:tcPr>
            <w:tcW w:type="dxa" w:w="1040"/>
          </w:tcPr>
          <w:p>
            <w:pPr>
              <w:spacing w:before="0" w:after="0" w:line="276" w:lineRule="auto"/>
            </w:pPr>
            <w:r>
              <w:rPr>
                <w:rFonts w:ascii="Times New Roman" w:hAnsi="Times New Roman" w:eastAsia="Times New Roman"/>
                <w:sz w:val="24"/>
              </w:rPr>
              <w:t>Q(</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040"/>
          </w:tcPr>
          <w:p>
            <w:pPr>
              <w:spacing w:before="0" w:after="0" w:line="276" w:lineRule="auto"/>
            </w:pPr>
            <w:r>
              <w:rPr>
                <w:rFonts w:ascii="Times New Roman" w:hAnsi="Times New Roman" w:eastAsia="Times New Roman"/>
                <w:sz w:val="20"/>
              </w:rPr>
              <w:t>Conscientiousness</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.167</w:t>
            </w:r>
          </w:p>
        </w:tc>
        <w:tc>
          <w:tcPr>
            <w:tcW w:type="dxa" w:w="1040"/>
          </w:tcPr>
          <w:p>
            <w:pPr>
              <w:spacing w:before="0" w:after="0" w:line="276" w:lineRule="auto"/>
            </w:pPr>
            <w:r>
              <w:rPr>
                <w:rFonts w:ascii="Times New Roman" w:hAnsi="Times New Roman" w:eastAsia="Times New Roman"/>
                <w:sz w:val="20"/>
              </w:rPr>
              <w:t>[.089, .243]</w:t>
            </w:r>
          </w:p>
        </w:tc>
        <w:tc>
          <w:tcPr>
            <w:tcW w:type="dxa" w:w="1040"/>
          </w:tcPr>
          <w:p>
            <w:pPr>
              <w:spacing w:before="0" w:after="0" w:line="276" w:lineRule="auto"/>
            </w:pPr>
            <w:r>
              <w:rPr>
                <w:rFonts w:ascii="Times New Roman" w:hAnsi="Times New Roman" w:eastAsia="Times New Roman"/>
                <w:sz w:val="20"/>
              </w:rPr>
              <w:t>[−.020, .343]</w:t>
            </w:r>
          </w:p>
        </w:tc>
        <w:tc>
          <w:tcPr>
            <w:tcW w:type="dxa" w:w="1040"/>
          </w:tcPr>
          <w:p>
            <w:pPr>
              <w:spacing w:before="0" w:after="0" w:line="276" w:lineRule="auto"/>
            </w:pPr>
            <w:r>
              <w:rPr>
                <w:rFonts w:ascii="Times New Roman" w:hAnsi="Times New Roman" w:eastAsia="Times New Roman"/>
                <w:sz w:val="20"/>
              </w:rPr>
              <w:t>65.1%</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25.79(9), .002</w:t>
            </w:r>
          </w:p>
        </w:tc>
      </w:tr>
      <w:tr>
        <w:tc>
          <w:tcPr>
            <w:tcW w:type="dxa" w:w="1040"/>
          </w:tcPr>
          <w:p>
            <w:pPr>
              <w:spacing w:before="0" w:after="0" w:line="276" w:lineRule="auto"/>
            </w:pPr>
            <w:r>
              <w:rPr>
                <w:rFonts w:ascii="Times New Roman" w:hAnsi="Times New Roman" w:eastAsia="Times New Roman"/>
                <w:sz w:val="20"/>
              </w:rPr>
              <w:t>Agreeableness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.112</w:t>
            </w:r>
          </w:p>
        </w:tc>
        <w:tc>
          <w:tcPr>
            <w:tcW w:type="dxa" w:w="1040"/>
          </w:tcPr>
          <w:p>
            <w:pPr>
              <w:spacing w:before="0" w:after="0" w:line="276" w:lineRule="auto"/>
            </w:pPr>
            <w:r>
              <w:rPr>
                <w:rFonts w:ascii="Times New Roman" w:hAnsi="Times New Roman" w:eastAsia="Times New Roman"/>
                <w:sz w:val="20"/>
              </w:rPr>
              <w:t>[−.031, .250]</w:t>
            </w:r>
          </w:p>
        </w:tc>
        <w:tc>
          <w:tcPr>
            <w:tcW w:type="dxa" w:w="1040"/>
          </w:tcPr>
          <w:p>
            <w:pPr>
              <w:spacing w:before="0" w:after="0" w:line="276" w:lineRule="auto"/>
            </w:pPr>
            <w:r>
              <w:rPr>
                <w:rFonts w:ascii="Times New Roman" w:hAnsi="Times New Roman" w:eastAsia="Times New Roman"/>
                <w:sz w:val="20"/>
              </w:rPr>
              <w:t>[−.310, .496]</w:t>
            </w:r>
          </w:p>
        </w:tc>
        <w:tc>
          <w:tcPr>
            <w:tcW w:type="dxa" w:w="1040"/>
          </w:tcPr>
          <w:p>
            <w:pPr>
              <w:spacing w:before="0" w:after="0" w:line="276" w:lineRule="auto"/>
            </w:pPr>
            <w:r>
              <w:rPr>
                <w:rFonts w:ascii="Times New Roman" w:hAnsi="Times New Roman" w:eastAsia="Times New Roman"/>
                <w:sz w:val="20"/>
              </w:rPr>
              <w:t>96.2%</w:t>
            </w:r>
          </w:p>
        </w:tc>
        <w:tc>
          <w:tcPr>
            <w:tcW w:type="dxa" w:w="1040"/>
          </w:tcPr>
          <w:p>
            <w:pPr>
              <w:spacing w:before="0" w:after="0" w:line="276" w:lineRule="auto"/>
            </w:pPr>
            <w:r>
              <w:rPr>
                <w:rFonts w:ascii="Times New Roman" w:hAnsi="Times New Roman" w:eastAsia="Times New Roman"/>
                <w:sz w:val="20"/>
              </w:rPr>
              <w:t>.030</w:t>
            </w:r>
          </w:p>
        </w:tc>
        <w:tc>
          <w:tcPr>
            <w:tcW w:type="dxa" w:w="1040"/>
          </w:tcPr>
          <w:p>
            <w:pPr>
              <w:spacing w:before="0" w:after="0" w:line="276" w:lineRule="auto"/>
            </w:pPr>
            <w:r>
              <w:rPr>
                <w:rFonts w:ascii="Times New Roman" w:hAnsi="Times New Roman" w:eastAsia="Times New Roman"/>
                <w:sz w:val="20"/>
              </w:rPr>
              <w:t>208.49(8), &lt;.001</w:t>
            </w:r>
          </w:p>
        </w:tc>
      </w:tr>
      <w:tr>
        <w:tc>
          <w:tcPr>
            <w:tcW w:type="dxa" w:w="1040"/>
          </w:tcPr>
          <w:p>
            <w:pPr>
              <w:spacing w:before="0" w:after="0" w:line="276" w:lineRule="auto"/>
            </w:pPr>
            <w:r>
              <w:rPr>
                <w:rFonts w:ascii="Times New Roman" w:hAnsi="Times New Roman" w:eastAsia="Times New Roman"/>
                <w:sz w:val="20"/>
              </w:rPr>
              <w:t>Openness</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.086</w:t>
            </w:r>
          </w:p>
        </w:tc>
        <w:tc>
          <w:tcPr>
            <w:tcW w:type="dxa" w:w="1040"/>
          </w:tcPr>
          <w:p>
            <w:pPr>
              <w:spacing w:before="0" w:after="0" w:line="276" w:lineRule="auto"/>
            </w:pPr>
            <w:r>
              <w:rPr>
                <w:rFonts w:ascii="Times New Roman" w:hAnsi="Times New Roman" w:eastAsia="Times New Roman"/>
                <w:sz w:val="20"/>
              </w:rPr>
              <w:t>[−.044, .214]</w:t>
            </w:r>
          </w:p>
        </w:tc>
        <w:tc>
          <w:tcPr>
            <w:tcW w:type="dxa" w:w="1040"/>
          </w:tcPr>
          <w:p>
            <w:pPr>
              <w:spacing w:before="0" w:after="0" w:line="276" w:lineRule="auto"/>
            </w:pPr>
            <w:r>
              <w:rPr>
                <w:rFonts w:ascii="Times New Roman" w:hAnsi="Times New Roman" w:eastAsia="Times New Roman"/>
                <w:sz w:val="20"/>
              </w:rPr>
              <w:t>[−.273, .425]</w:t>
            </w:r>
          </w:p>
        </w:tc>
        <w:tc>
          <w:tcPr>
            <w:tcW w:type="dxa" w:w="1040"/>
          </w:tcPr>
          <w:p>
            <w:pPr>
              <w:spacing w:before="0" w:after="0" w:line="276" w:lineRule="auto"/>
            </w:pPr>
            <w:r>
              <w:rPr>
                <w:rFonts w:ascii="Times New Roman" w:hAnsi="Times New Roman" w:eastAsia="Times New Roman"/>
                <w:sz w:val="20"/>
              </w:rPr>
              <w:t>92.0%</w:t>
            </w:r>
          </w:p>
        </w:tc>
        <w:tc>
          <w:tcPr>
            <w:tcW w:type="dxa" w:w="1040"/>
          </w:tcPr>
          <w:p>
            <w:pPr>
              <w:spacing w:before="0" w:after="0" w:line="276" w:lineRule="auto"/>
            </w:pPr>
            <w:r>
              <w:rPr>
                <w:rFonts w:ascii="Times New Roman" w:hAnsi="Times New Roman" w:eastAsia="Times New Roman"/>
                <w:sz w:val="20"/>
              </w:rPr>
              <w:t>.021</w:t>
            </w:r>
          </w:p>
        </w:tc>
        <w:tc>
          <w:tcPr>
            <w:tcW w:type="dxa" w:w="1040"/>
          </w:tcPr>
          <w:p>
            <w:pPr>
              <w:spacing w:before="0" w:after="0" w:line="276" w:lineRule="auto"/>
            </w:pPr>
            <w:r>
              <w:rPr>
                <w:rFonts w:ascii="Times New Roman" w:hAnsi="Times New Roman" w:eastAsia="Times New Roman"/>
                <w:sz w:val="20"/>
              </w:rPr>
              <w:t>100.17(8), &lt;.001</w:t>
            </w:r>
          </w:p>
        </w:tc>
      </w:tr>
      <w:tr>
        <w:tc>
          <w:tcPr>
            <w:tcW w:type="dxa" w:w="1040"/>
          </w:tcPr>
          <w:p>
            <w:pPr>
              <w:spacing w:before="0" w:after="0" w:line="276" w:lineRule="auto"/>
            </w:pPr>
            <w:r>
              <w:rPr>
                <w:rFonts w:ascii="Times New Roman" w:hAnsi="Times New Roman" w:eastAsia="Times New Roman"/>
                <w:sz w:val="20"/>
              </w:rPr>
              <w:t>Neuroticism</w:t>
            </w:r>
          </w:p>
        </w:tc>
        <w:tc>
          <w:tcPr>
            <w:tcW w:type="dxa" w:w="1040"/>
          </w:tcPr>
          <w:p>
            <w:pPr>
              <w:spacing w:before="0" w:after="0" w:line="276" w:lineRule="auto"/>
            </w:pPr>
            <w:r>
              <w:rPr>
                <w:rFonts w:ascii="Times New Roman" w:hAnsi="Times New Roman" w:eastAsia="Times New Roman"/>
                <w:sz w:val="20"/>
              </w:rPr>
              <w:t>10</w:t>
            </w:r>
          </w:p>
        </w:tc>
        <w:tc>
          <w:tcPr>
            <w:tcW w:type="dxa" w:w="1040"/>
          </w:tcPr>
          <w:p>
            <w:pPr>
              <w:spacing w:before="0" w:after="0" w:line="276" w:lineRule="auto"/>
            </w:pPr>
            <w:r>
              <w:rPr>
                <w:rFonts w:ascii="Times New Roman" w:hAnsi="Times New Roman" w:eastAsia="Times New Roman"/>
                <w:sz w:val="20"/>
              </w:rPr>
              <w:t>3,384</w:t>
            </w:r>
          </w:p>
        </w:tc>
        <w:tc>
          <w:tcPr>
            <w:tcW w:type="dxa" w:w="1040"/>
          </w:tcPr>
          <w:p>
            <w:pPr>
              <w:spacing w:before="0" w:after="0" w:line="276" w:lineRule="auto"/>
            </w:pPr>
            <w:r>
              <w:rPr>
                <w:rFonts w:ascii="Times New Roman" w:hAnsi="Times New Roman" w:eastAsia="Times New Roman"/>
                <w:sz w:val="20"/>
              </w:rPr>
              <w:t>.018</w:t>
            </w:r>
          </w:p>
        </w:tc>
        <w:tc>
          <w:tcPr>
            <w:tcW w:type="dxa" w:w="1040"/>
          </w:tcPr>
          <w:p>
            <w:pPr>
              <w:spacing w:before="0" w:after="0" w:line="276" w:lineRule="auto"/>
            </w:pPr>
            <w:r>
              <w:rPr>
                <w:rFonts w:ascii="Times New Roman" w:hAnsi="Times New Roman" w:eastAsia="Times New Roman"/>
                <w:sz w:val="20"/>
              </w:rPr>
              <w:t>[−.079, .114]</w:t>
            </w:r>
          </w:p>
        </w:tc>
        <w:tc>
          <w:tcPr>
            <w:tcW w:type="dxa" w:w="1040"/>
          </w:tcPr>
          <w:p>
            <w:pPr>
              <w:spacing w:before="0" w:after="0" w:line="276" w:lineRule="auto"/>
            </w:pPr>
            <w:r>
              <w:rPr>
                <w:rFonts w:ascii="Times New Roman" w:hAnsi="Times New Roman" w:eastAsia="Times New Roman"/>
                <w:sz w:val="20"/>
              </w:rPr>
              <w:t>[−.229, .263]</w:t>
            </w:r>
          </w:p>
        </w:tc>
        <w:tc>
          <w:tcPr>
            <w:tcW w:type="dxa" w:w="1040"/>
          </w:tcPr>
          <w:p>
            <w:pPr>
              <w:spacing w:before="0" w:after="0" w:line="276" w:lineRule="auto"/>
            </w:pPr>
            <w:r>
              <w:rPr>
                <w:rFonts w:ascii="Times New Roman" w:hAnsi="Times New Roman" w:eastAsia="Times New Roman"/>
                <w:sz w:val="20"/>
              </w:rPr>
              <w:t>79.0%</w:t>
            </w:r>
          </w:p>
        </w:tc>
        <w:tc>
          <w:tcPr>
            <w:tcW w:type="dxa" w:w="1040"/>
          </w:tcPr>
          <w:p>
            <w:pPr>
              <w:spacing w:before="0" w:after="0" w:line="276" w:lineRule="auto"/>
            </w:pPr>
            <w:r>
              <w:rPr>
                <w:rFonts w:ascii="Times New Roman" w:hAnsi="Times New Roman" w:eastAsia="Times New Roman"/>
                <w:sz w:val="20"/>
              </w:rPr>
              <w:t>.010</w:t>
            </w:r>
          </w:p>
        </w:tc>
        <w:tc>
          <w:tcPr>
            <w:tcW w:type="dxa" w:w="1040"/>
          </w:tcPr>
          <w:p>
            <w:pPr>
              <w:spacing w:before="0" w:after="0" w:line="276" w:lineRule="auto"/>
            </w:pPr>
            <w:r>
              <w:rPr>
                <w:rFonts w:ascii="Times New Roman" w:hAnsi="Times New Roman" w:eastAsia="Times New Roman"/>
                <w:sz w:val="20"/>
              </w:rPr>
              <w:t>42.76(9), &lt;.001</w:t>
            </w:r>
          </w:p>
        </w:tc>
      </w:tr>
      <w:tr>
        <w:tc>
          <w:tcPr>
            <w:tcW w:type="dxa" w:w="1040"/>
          </w:tcPr>
          <w:p>
            <w:pPr>
              <w:spacing w:before="0" w:after="0" w:line="276" w:lineRule="auto"/>
            </w:pPr>
            <w:r>
              <w:rPr>
                <w:rFonts w:ascii="Times New Roman" w:hAnsi="Times New Roman" w:eastAsia="Times New Roman"/>
                <w:sz w:val="20"/>
              </w:rPr>
              <w:t>Extraversion</w:t>
            </w:r>
          </w:p>
        </w:tc>
        <w:tc>
          <w:tcPr>
            <w:tcW w:type="dxa" w:w="1040"/>
          </w:tcPr>
          <w:p>
            <w:pPr>
              <w:spacing w:before="0" w:after="0" w:line="276" w:lineRule="auto"/>
            </w:pPr>
            <w:r>
              <w:rPr>
                <w:rFonts w:ascii="Times New Roman" w:hAnsi="Times New Roman" w:eastAsia="Times New Roman"/>
                <w:sz w:val="20"/>
              </w:rPr>
              <w:t>9</w:t>
            </w:r>
          </w:p>
        </w:tc>
        <w:tc>
          <w:tcPr>
            <w:tcW w:type="dxa" w:w="1040"/>
          </w:tcPr>
          <w:p>
            <w:pPr>
              <w:spacing w:before="0" w:after="0" w:line="276" w:lineRule="auto"/>
            </w:pPr>
            <w:r>
              <w:rPr>
                <w:rFonts w:ascii="Times New Roman" w:hAnsi="Times New Roman" w:eastAsia="Times New Roman"/>
                <w:sz w:val="20"/>
              </w:rPr>
              <w:t>3,363</w:t>
            </w:r>
          </w:p>
        </w:tc>
        <w:tc>
          <w:tcPr>
            <w:tcW w:type="dxa" w:w="1040"/>
          </w:tcPr>
          <w:p>
            <w:pPr>
              <w:spacing w:before="0" w:after="0" w:line="276" w:lineRule="auto"/>
            </w:pPr>
            <w:r>
              <w:rPr>
                <w:rFonts w:ascii="Times New Roman" w:hAnsi="Times New Roman" w:eastAsia="Times New Roman"/>
                <w:sz w:val="20"/>
              </w:rPr>
              <w:t>.002</w:t>
            </w:r>
          </w:p>
        </w:tc>
        <w:tc>
          <w:tcPr>
            <w:tcW w:type="dxa" w:w="1040"/>
          </w:tcPr>
          <w:p>
            <w:pPr>
              <w:spacing w:before="0" w:after="0" w:line="276" w:lineRule="auto"/>
            </w:pPr>
            <w:r>
              <w:rPr>
                <w:rFonts w:ascii="Times New Roman" w:hAnsi="Times New Roman" w:eastAsia="Times New Roman"/>
                <w:sz w:val="20"/>
              </w:rPr>
              <w:t>[−.076, .080]</w:t>
            </w:r>
          </w:p>
        </w:tc>
        <w:tc>
          <w:tcPr>
            <w:tcW w:type="dxa" w:w="1040"/>
          </w:tcPr>
          <w:p>
            <w:pPr>
              <w:spacing w:before="0" w:after="0" w:line="276" w:lineRule="auto"/>
            </w:pPr>
            <w:r>
              <w:rPr>
                <w:rFonts w:ascii="Times New Roman" w:hAnsi="Times New Roman" w:eastAsia="Times New Roman"/>
                <w:sz w:val="20"/>
              </w:rPr>
              <w:t>[−.195, .200]</w:t>
            </w:r>
          </w:p>
        </w:tc>
        <w:tc>
          <w:tcPr>
            <w:tcW w:type="dxa" w:w="1040"/>
          </w:tcPr>
          <w:p>
            <w:pPr>
              <w:spacing w:before="0" w:after="0" w:line="276" w:lineRule="auto"/>
            </w:pPr>
            <w:r>
              <w:rPr>
                <w:rFonts w:ascii="Times New Roman" w:hAnsi="Times New Roman" w:eastAsia="Times New Roman"/>
                <w:sz w:val="20"/>
              </w:rPr>
              <w:t>75.5%</w:t>
            </w:r>
          </w:p>
        </w:tc>
        <w:tc>
          <w:tcPr>
            <w:tcW w:type="dxa" w:w="1040"/>
          </w:tcPr>
          <w:p>
            <w:pPr>
              <w:spacing w:before="0" w:after="0" w:line="276" w:lineRule="auto"/>
            </w:pPr>
            <w:r>
              <w:rPr>
                <w:rFonts w:ascii="Times New Roman" w:hAnsi="Times New Roman" w:eastAsia="Times New Roman"/>
                <w:sz w:val="20"/>
              </w:rPr>
              <w:t>.006</w:t>
            </w:r>
          </w:p>
        </w:tc>
        <w:tc>
          <w:tcPr>
            <w:tcW w:type="dxa" w:w="1040"/>
          </w:tcPr>
          <w:p>
            <w:pPr>
              <w:spacing w:before="0" w:after="0" w:line="276" w:lineRule="auto"/>
            </w:pPr>
            <w:r>
              <w:rPr>
                <w:rFonts w:ascii="Times New Roman" w:hAnsi="Times New Roman" w:eastAsia="Times New Roman"/>
                <w:sz w:val="20"/>
              </w:rPr>
              <w:t>32.66(8), &lt;.001</w:t>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independent samples contributing a direct Pearson </w:t>
      </w:r>
      <w:r>
        <w:rPr>
          <w:rFonts w:ascii="Times New Roman" w:hAnsi="Times New Roman" w:eastAsia="Times New Roman"/>
          <w:i/>
          <w:sz w:val="24"/>
        </w:rPr>
        <w:t>r</w:t>
      </w:r>
      <w:r>
        <w:rPr>
          <w:rFonts w:ascii="Times New Roman" w:hAnsi="Times New Roman" w:eastAsia="Times New Roman"/>
          <w:sz w:val="24"/>
        </w:rPr>
        <w:t xml:space="preserve"> or Peterson-Brown-converted </w:t>
      </w:r>
      <w:r>
        <w:rPr>
          <w:rFonts w:ascii="Times New Roman" w:hAnsi="Times New Roman" w:eastAsia="Times New Roman"/>
          <w:i/>
          <w:sz w:val="24"/>
        </w:rPr>
        <w:t>β</w:t>
      </w:r>
      <w:r>
        <w:rPr>
          <w:rFonts w:ascii="Times New Roman" w:hAnsi="Times New Roman" w:eastAsia="Times New Roman"/>
          <w:sz w:val="24"/>
        </w:rPr>
        <w:t xml:space="preserve"> to the trait pool. </w:t>
      </w:r>
      <w:r>
        <w:rPr>
          <w:rFonts w:ascii="Times New Roman" w:hAnsi="Times New Roman" w:eastAsia="Times New Roman"/>
          <w:i/>
          <w:sz w:val="24"/>
        </w:rPr>
        <w:t>N</w:t>
      </w:r>
      <w:r>
        <w:rPr>
          <w:rFonts w:ascii="Times New Roman" w:hAnsi="Times New Roman" w:eastAsia="Times New Roman"/>
          <w:sz w:val="24"/>
        </w:rPr>
        <w:t xml:space="preserve"> = total pooled sample size. </w:t>
      </w:r>
      <w:r>
        <w:rPr>
          <w:rFonts w:ascii="Times New Roman" w:hAnsi="Times New Roman" w:eastAsia="Times New Roman"/>
          <w:i/>
          <w:sz w:val="24"/>
        </w:rPr>
        <w:t>r</w:t>
      </w:r>
      <w:r>
        <w:rPr>
          <w:rFonts w:ascii="Times New Roman" w:hAnsi="Times New Roman" w:eastAsia="Times New Roman"/>
          <w:sz w:val="24"/>
        </w:rPr>
        <w:t xml:space="preserve"> = random-effects REML pooled correlation on the Fisher </w:t>
      </w:r>
      <w:r>
        <w:rPr>
          <w:rFonts w:ascii="Times New Roman" w:hAnsi="Times New Roman" w:eastAsia="Times New Roman"/>
          <w:i/>
          <w:sz w:val="24"/>
        </w:rPr>
        <w:t>z</w:t>
      </w:r>
      <w:r>
        <w:rPr>
          <w:rFonts w:ascii="Times New Roman" w:hAnsi="Times New Roman" w:eastAsia="Times New Roman"/>
          <w:sz w:val="24"/>
        </w:rPr>
        <w:t xml:space="preserve"> scale, back-transformed to </w:t>
      </w:r>
      <w:r>
        <w:rPr>
          <w:rFonts w:ascii="Times New Roman" w:hAnsi="Times New Roman" w:eastAsia="Times New Roman"/>
          <w:i/>
          <w:sz w:val="24"/>
        </w:rPr>
        <w:t>r</w:t>
      </w:r>
      <w:r>
        <w:rPr>
          <w:rFonts w:ascii="Times New Roman" w:hAnsi="Times New Roman" w:eastAsia="Times New Roman"/>
          <w:sz w:val="24"/>
        </w:rPr>
        <w:t xml:space="preserve"> for display. 95% CI = Hartung-Knapp-Sidik-Jonkman–adjusted confidence interval. 95% PI = prediction interval for true effects in a new study. </w:t>
      </w:r>
      <w:r>
        <w:rPr>
          <w:rFonts w:ascii="Times New Roman" w:hAnsi="Times New Roman" w:eastAsia="Times New Roman"/>
          <w:i/>
          <w:sz w:val="24"/>
        </w:rPr>
        <w:t>I²</w:t>
      </w:r>
      <w:r>
        <w:rPr>
          <w:rFonts w:ascii="Times New Roman" w:hAnsi="Times New Roman" w:eastAsia="Times New Roman"/>
          <w:sz w:val="24"/>
        </w:rPr>
        <w:t xml:space="preserve"> = Higgins &amp; Thompson's heterogeneity index. </w:t>
      </w:r>
      <w:r>
        <w:rPr>
          <w:rFonts w:ascii="Times New Roman" w:hAnsi="Times New Roman" w:eastAsia="Times New Roman"/>
          <w:i/>
          <w:sz w:val="24"/>
        </w:rPr>
        <w:t>τ²</w:t>
      </w:r>
      <w:r>
        <w:rPr>
          <w:rFonts w:ascii="Times New Roman" w:hAnsi="Times New Roman" w:eastAsia="Times New Roman"/>
          <w:sz w:val="24"/>
        </w:rPr>
        <w:t xml:space="preserve"> = REML between-study variance. </w:t>
      </w:r>
      <w:r>
        <w:rPr>
          <w:rFonts w:ascii="Times New Roman" w:hAnsi="Times New Roman" w:eastAsia="Times New Roman"/>
          <w:i/>
          <w:sz w:val="24"/>
        </w:rPr>
        <w:t>Q</w:t>
      </w:r>
      <w:r>
        <w:rPr>
          <w:rFonts w:ascii="Times New Roman" w:hAnsi="Times New Roman" w:eastAsia="Times New Roman"/>
          <w:sz w:val="24"/>
        </w:rPr>
        <w:t xml:space="preserve"> = Cochran's heterogeneity statistic; </w:t>
      </w:r>
      <w:r>
        <w:rPr>
          <w:rFonts w:ascii="Times New Roman" w:hAnsi="Times New Roman" w:eastAsia="Times New Roman"/>
          <w:i/>
          <w:sz w:val="24"/>
        </w:rPr>
        <w:t>df</w:t>
      </w:r>
      <w:r>
        <w:rPr>
          <w:rFonts w:ascii="Times New Roman" w:hAnsi="Times New Roman" w:eastAsia="Times New Roman"/>
          <w:sz w:val="24"/>
        </w:rPr>
        <w:t xml:space="preserve"> = degrees of freedom; </w:t>
      </w:r>
      <w:r>
        <w:rPr>
          <w:rFonts w:ascii="Times New Roman" w:hAnsi="Times New Roman" w:eastAsia="Times New Roman"/>
          <w:i/>
          <w:sz w:val="24"/>
        </w:rPr>
        <w:t>p</w:t>
      </w:r>
      <w:r>
        <w:rPr>
          <w:rFonts w:ascii="Times New Roman" w:hAnsi="Times New Roman" w:eastAsia="Times New Roman"/>
          <w:sz w:val="24"/>
        </w:rPr>
        <w:t xml:space="preserve"> = associated p-value. Traits are sorted by pooled </w:t>
      </w:r>
      <w:r>
        <w:rPr>
          <w:rFonts w:ascii="Times New Roman" w:hAnsi="Times New Roman" w:eastAsia="Times New Roman"/>
          <w:i/>
          <w:sz w:val="24"/>
        </w:rPr>
        <w:t>r</w:t>
      </w:r>
      <w:r>
        <w:rPr>
          <w:rFonts w:ascii="Times New Roman" w:hAnsi="Times New Roman" w:eastAsia="Times New Roman"/>
          <w:sz w:val="24"/>
        </w:rPr>
        <w:t xml:space="preserve"> (descending).</w:t>
      </w:r>
    </w:p>
    <w:p>
      <w:r>
        <w:br w:type="page"/>
      </w:r>
    </w:p>
    <w:p>
      <w:pPr>
        <w:spacing w:line="480" w:lineRule="auto" w:before="0" w:after="0"/>
      </w:pPr>
      <w:r>
        <w:rPr>
          <w:rFonts w:ascii="Times New Roman" w:hAnsi="Times New Roman"/>
          <w:b/>
          <w:sz w:val="24"/>
        </w:rPr>
        <w:t>Table 3</w:t>
      </w:r>
    </w:p>
    <w:p>
      <w:pPr>
        <w:spacing w:line="480" w:lineRule="auto" w:before="0" w:after="0"/>
      </w:pPr>
      <w:r>
        <w:rPr>
          <w:rFonts w:ascii="Times New Roman" w:hAnsi="Times New Roman"/>
          <w:i/>
          <w:sz w:val="24"/>
        </w:rPr>
        <w:t>Subgroup Moderator Analyses: Region, Era, and Outcome Type per Big Five Trait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Moderator / Trait</w:t>
            </w:r>
          </w:p>
        </w:tc>
        <w:tc>
          <w:tcPr>
            <w:tcW w:type="dxa" w:w="1872"/>
          </w:tcPr>
          <w:p>
            <w:pPr>
              <w:spacing w:before="0" w:after="0" w:line="276" w:lineRule="auto"/>
            </w:pPr>
            <w:r>
              <w:rPr>
                <w:rFonts w:ascii="Times New Roman" w:hAnsi="Times New Roman" w:eastAsia="Times New Roman"/>
                <w:b/>
                <w:sz w:val="20"/>
              </w:rPr>
              <w:t>Level</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sz w:val="24"/>
              </w:rPr>
              <w:t>Q_between(</w:t>
            </w:r>
            <w:r>
              <w:rPr>
                <w:rFonts w:ascii="Times New Roman" w:hAnsi="Times New Roman" w:eastAsia="Times New Roman"/>
                <w:i/>
                <w:sz w:val="24"/>
              </w:rPr>
              <w:t>df</w:t>
            </w:r>
            <w:r>
              <w:rPr>
                <w:rFonts w:ascii="Times New Roman" w:hAnsi="Times New Roman" w:eastAsia="Times New Roman"/>
                <w:sz w:val="24"/>
              </w:rPr>
              <w:t xml:space="preserve">), </w:t>
            </w:r>
            <w:r>
              <w:rPr>
                <w:rFonts w:ascii="Times New Roman" w:hAnsi="Times New Roman" w:eastAsia="Times New Roman"/>
                <w:i/>
                <w:sz w:val="24"/>
              </w:rPr>
              <w:t>p</w:t>
            </w:r>
          </w:p>
        </w:tc>
      </w:tr>
      <w:tr>
        <w:tc>
          <w:tcPr>
            <w:tcW w:type="dxa" w:w="1872"/>
          </w:tcPr>
          <w:p>
            <w:pPr>
              <w:spacing w:before="0" w:after="0" w:line="276" w:lineRule="auto"/>
            </w:pPr>
            <w:r>
              <w:rPr>
                <w:rFonts w:ascii="Times New Roman" w:hAnsi="Times New Roman" w:eastAsia="Times New Roman"/>
                <w:sz w:val="20"/>
              </w:rPr>
              <w:t>Region: Conscientiousness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.185 [.082, .284]</w:t>
            </w:r>
          </w:p>
        </w:tc>
        <w:tc>
          <w:tcPr>
            <w:tcW w:type="dxa" w:w="1872"/>
          </w:tcPr>
          <w:p>
            <w:pPr>
              <w:spacing w:before="0" w:after="0" w:line="276" w:lineRule="auto"/>
            </w:pPr>
            <w:r>
              <w:rPr>
                <w:rFonts w:ascii="Times New Roman" w:hAnsi="Times New Roman" w:eastAsia="Times New Roman"/>
                <w:sz w:val="20"/>
              </w:rPr>
              <w:t>2.68(1), .102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.111 [−.039, .257]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Openness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.053 [−.060, .164]</w:t>
            </w:r>
          </w:p>
        </w:tc>
        <w:tc>
          <w:tcPr>
            <w:tcW w:type="dxa" w:w="1872"/>
          </w:tcPr>
          <w:p>
            <w:pPr>
              <w:spacing w:before="0" w:after="0" w:line="276" w:lineRule="auto"/>
            </w:pPr>
            <w:r>
              <w:rPr>
                <w:rFonts w:ascii="Times New Roman" w:hAnsi="Times New Roman" w:eastAsia="Times New Roman"/>
                <w:sz w:val="20"/>
              </w:rPr>
              <w:t>0.26(1), .612</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.164 [−.989, .994]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Extraversion</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.050 [−.004, .104]</w:t>
            </w:r>
          </w:p>
        </w:tc>
        <w:tc>
          <w:tcPr>
            <w:tcW w:type="dxa" w:w="1872"/>
          </w:tcPr>
          <w:p>
            <w:pPr>
              <w:spacing w:before="0" w:after="0" w:line="276" w:lineRule="auto"/>
            </w:pPr>
            <w:r>
              <w:rPr>
                <w:rFonts w:ascii="Times New Roman" w:hAnsi="Times New Roman" w:eastAsia="Times New Roman"/>
                <w:sz w:val="20"/>
              </w:rPr>
              <w:t>46.43(1),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−.131 [−.314, .061]</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Agreeableness</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.030 [−.047, .106]</w:t>
            </w:r>
          </w:p>
        </w:tc>
        <w:tc>
          <w:tcPr>
            <w:tcW w:type="dxa" w:w="1872"/>
          </w:tcPr>
          <w:p>
            <w:pPr>
              <w:spacing w:before="0" w:after="0" w:line="276" w:lineRule="auto"/>
            </w:pPr>
            <w:r>
              <w:rPr>
                <w:rFonts w:ascii="Times New Roman" w:hAnsi="Times New Roman" w:eastAsia="Times New Roman"/>
                <w:sz w:val="20"/>
              </w:rPr>
              <w:t>2.17(1), .140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.330 [−.981, .995]</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Region: Neuroticism</w:t>
            </w:r>
          </w:p>
        </w:tc>
        <w:tc>
          <w:tcPr>
            <w:tcW w:type="dxa" w:w="1872"/>
          </w:tcPr>
          <w:p>
            <w:pPr>
              <w:spacing w:before="0" w:after="0" w:line="276" w:lineRule="auto"/>
            </w:pPr>
            <w:r>
              <w:rPr>
                <w:rFonts w:ascii="Times New Roman" w:hAnsi="Times New Roman" w:eastAsia="Times New Roman"/>
                <w:sz w:val="20"/>
              </w:rPr>
              <w:t>non-Asia</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−.007 [−.130, .117]</w:t>
            </w:r>
          </w:p>
        </w:tc>
        <w:tc>
          <w:tcPr>
            <w:tcW w:type="dxa" w:w="1872"/>
          </w:tcPr>
          <w:p>
            <w:pPr>
              <w:spacing w:before="0" w:after="0" w:line="276" w:lineRule="auto"/>
            </w:pPr>
            <w:r>
              <w:rPr>
                <w:rFonts w:ascii="Times New Roman" w:hAnsi="Times New Roman" w:eastAsia="Times New Roman"/>
                <w:sz w:val="20"/>
              </w:rPr>
              <w:t>3.31(1), .069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Asia</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.089 [.008, .169]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Conscientiousness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.208 [−.041, .434]</w:t>
            </w:r>
          </w:p>
        </w:tc>
        <w:tc>
          <w:tcPr>
            <w:tcW w:type="dxa" w:w="1872"/>
          </w:tcPr>
          <w:p>
            <w:pPr>
              <w:spacing w:before="0" w:after="0" w:line="276" w:lineRule="auto"/>
            </w:pPr>
            <w:r>
              <w:rPr>
                <w:rFonts w:ascii="Times New Roman" w:hAnsi="Times New Roman" w:eastAsia="Times New Roman"/>
                <w:sz w:val="20"/>
              </w:rPr>
              <w:t>0.13(1), .716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.179 [.095, .260]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Openness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.098 [−.423, .570]</w:t>
            </w:r>
          </w:p>
        </w:tc>
        <w:tc>
          <w:tcPr>
            <w:tcW w:type="dxa" w:w="1872"/>
          </w:tcPr>
          <w:p>
            <w:pPr>
              <w:spacing w:before="0" w:after="0" w:line="276" w:lineRule="auto"/>
            </w:pPr>
            <w:r>
              <w:rPr>
                <w:rFonts w:ascii="Times New Roman" w:hAnsi="Times New Roman" w:eastAsia="Times New Roman"/>
                <w:sz w:val="20"/>
              </w:rPr>
              <w:t>0.00(1), .994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.097 [−.123, .308]</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Extraversion</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[.002, .063]</w:t>
            </w:r>
          </w:p>
        </w:tc>
        <w:tc>
          <w:tcPr>
            <w:tcW w:type="dxa" w:w="1872"/>
          </w:tcPr>
          <w:p>
            <w:pPr>
              <w:spacing w:before="0" w:after="0" w:line="276" w:lineRule="auto"/>
            </w:pPr>
            <w:r>
              <w:rPr>
                <w:rFonts w:ascii="Times New Roman" w:hAnsi="Times New Roman" w:eastAsia="Times New Roman"/>
                <w:sz w:val="20"/>
              </w:rPr>
              <w:t>0.59(1), .443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−.014 [−.180, .153]</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Agreeableness</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3</w:t>
            </w:r>
          </w:p>
        </w:tc>
        <w:tc>
          <w:tcPr>
            <w:tcW w:type="dxa" w:w="1872"/>
          </w:tcPr>
          <w:p>
            <w:pPr>
              <w:spacing w:before="0" w:after="0" w:line="276" w:lineRule="auto"/>
            </w:pPr>
            <w:r>
              <w:rPr>
                <w:rFonts w:ascii="Times New Roman" w:hAnsi="Times New Roman" w:eastAsia="Times New Roman"/>
                <w:sz w:val="20"/>
              </w:rPr>
              <w:t>.033 [−.162, .225]</w:t>
            </w:r>
          </w:p>
        </w:tc>
        <w:tc>
          <w:tcPr>
            <w:tcW w:type="dxa" w:w="1872"/>
          </w:tcPr>
          <w:p>
            <w:pPr>
              <w:spacing w:before="0" w:after="0" w:line="276" w:lineRule="auto"/>
            </w:pPr>
            <w:r>
              <w:rPr>
                <w:rFonts w:ascii="Times New Roman" w:hAnsi="Times New Roman" w:eastAsia="Times New Roman"/>
                <w:sz w:val="20"/>
              </w:rPr>
              <w:t>1.09(1), .296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.153 [−.141, .422]</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Era: Neuroticism</w:t>
            </w:r>
          </w:p>
        </w:tc>
        <w:tc>
          <w:tcPr>
            <w:tcW w:type="dxa" w:w="1872"/>
          </w:tcPr>
          <w:p>
            <w:pPr>
              <w:spacing w:before="0" w:after="0" w:line="276" w:lineRule="auto"/>
            </w:pPr>
            <w:r>
              <w:rPr>
                <w:rFonts w:ascii="Times New Roman" w:hAnsi="Times New Roman" w:eastAsia="Times New Roman"/>
                <w:sz w:val="20"/>
              </w:rPr>
              <w:t>pre-COVID</w:t>
            </w:r>
          </w:p>
        </w:tc>
        <w:tc>
          <w:tcPr>
            <w:tcW w:type="dxa" w:w="1872"/>
          </w:tcPr>
          <w:p>
            <w:pPr>
              <w:spacing w:before="0" w:after="0" w:line="276" w:lineRule="auto"/>
            </w:pPr>
            <w:r>
              <w:rPr>
                <w:rFonts w:ascii="Times New Roman" w:hAnsi="Times New Roman" w:eastAsia="Times New Roman"/>
                <w:sz w:val="20"/>
              </w:rPr>
              <w:t>4</w:t>
            </w:r>
          </w:p>
        </w:tc>
        <w:tc>
          <w:tcPr>
            <w:tcW w:type="dxa" w:w="1872"/>
          </w:tcPr>
          <w:p>
            <w:pPr>
              <w:spacing w:before="0" w:after="0" w:line="276" w:lineRule="auto"/>
            </w:pPr>
            <w:r>
              <w:rPr>
                <w:rFonts w:ascii="Times New Roman" w:hAnsi="Times New Roman" w:eastAsia="Times New Roman"/>
                <w:sz w:val="20"/>
              </w:rPr>
              <w:t>−.050 [−.173, .074]</w:t>
            </w:r>
          </w:p>
        </w:tc>
        <w:tc>
          <w:tcPr>
            <w:tcW w:type="dxa" w:w="1872"/>
          </w:tcPr>
          <w:p>
            <w:pPr>
              <w:spacing w:before="0" w:after="0" w:line="276" w:lineRule="auto"/>
            </w:pPr>
            <w:r>
              <w:rPr>
                <w:rFonts w:ascii="Times New Roman" w:hAnsi="Times New Roman" w:eastAsia="Times New Roman"/>
                <w:sz w:val="20"/>
              </w:rPr>
              <w:t>2.04(1), .153</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COVID-era</w:t>
            </w:r>
          </w:p>
        </w:tc>
        <w:tc>
          <w:tcPr>
            <w:tcW w:type="dxa" w:w="1872"/>
          </w:tcPr>
          <w:p>
            <w:pPr>
              <w:spacing w:before="0" w:after="0" w:line="276" w:lineRule="auto"/>
            </w:pPr>
            <w:r>
              <w:rPr>
                <w:rFonts w:ascii="Times New Roman" w:hAnsi="Times New Roman" w:eastAsia="Times New Roman"/>
                <w:sz w:val="20"/>
              </w:rPr>
              <w:t>5</w:t>
            </w:r>
          </w:p>
        </w:tc>
        <w:tc>
          <w:tcPr>
            <w:tcW w:type="dxa" w:w="1872"/>
          </w:tcPr>
          <w:p>
            <w:pPr>
              <w:spacing w:before="0" w:after="0" w:line="276" w:lineRule="auto"/>
            </w:pPr>
            <w:r>
              <w:rPr>
                <w:rFonts w:ascii="Times New Roman" w:hAnsi="Times New Roman" w:eastAsia="Times New Roman"/>
                <w:sz w:val="20"/>
              </w:rPr>
              <w:t>.060 [−.125, .240]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Conscientiousness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.147 [.076, .217]</w:t>
            </w:r>
          </w:p>
        </w:tc>
        <w:tc>
          <w:tcPr>
            <w:tcW w:type="dxa" w:w="1872"/>
          </w:tcPr>
          <w:p>
            <w:pPr>
              <w:spacing w:before="0" w:after="0" w:line="276" w:lineRule="auto"/>
            </w:pPr>
            <w:r>
              <w:rPr>
                <w:rFonts w:ascii="Times New Roman" w:hAnsi="Times New Roman" w:eastAsia="Times New Roman"/>
                <w:sz w:val="20"/>
              </w:rPr>
              <w:t>2.40(1), .121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.225 [.126, .319]</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Openness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.092 [−.068, .246]</w:t>
            </w:r>
          </w:p>
        </w:tc>
        <w:tc>
          <w:tcPr>
            <w:tcW w:type="dxa" w:w="1872"/>
          </w:tcPr>
          <w:p>
            <w:pPr>
              <w:spacing w:before="0" w:after="0" w:line="276" w:lineRule="auto"/>
            </w:pPr>
            <w:r>
              <w:rPr>
                <w:rFonts w:ascii="Times New Roman" w:hAnsi="Times New Roman" w:eastAsia="Times New Roman"/>
                <w:sz w:val="20"/>
              </w:rPr>
              <w:t>0.04(1), .839</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.072 [−.027, .170]</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Extraversion</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−.038 [−.134, .060]</w:t>
            </w:r>
          </w:p>
        </w:tc>
        <w:tc>
          <w:tcPr>
            <w:tcW w:type="dxa" w:w="1872"/>
          </w:tcPr>
          <w:p>
            <w:pPr>
              <w:spacing w:before="0" w:after="0" w:line="276" w:lineRule="auto"/>
            </w:pPr>
            <w:r>
              <w:rPr>
                <w:rFonts w:ascii="Times New Roman" w:hAnsi="Times New Roman" w:eastAsia="Times New Roman"/>
                <w:sz w:val="20"/>
              </w:rPr>
              <w:t>17.30(1), &lt;.001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.117 [.017, .214]</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Agreeableness</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.131 [−.088, .336]</w:t>
            </w:r>
          </w:p>
        </w:tc>
        <w:tc>
          <w:tcPr>
            <w:tcW w:type="dxa" w:w="1872"/>
          </w:tcPr>
          <w:p>
            <w:pPr>
              <w:spacing w:before="0" w:after="0" w:line="276" w:lineRule="auto"/>
            </w:pPr>
            <w:r>
              <w:rPr>
                <w:rFonts w:ascii="Times New Roman" w:hAnsi="Times New Roman" w:eastAsia="Times New Roman"/>
                <w:sz w:val="20"/>
              </w:rPr>
              <w:t>0.49(1), .485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.041 [−.056, .137]</w:t>
            </w:r>
          </w:p>
        </w:tc>
        <w:tc>
          <w:tcPr>
            <w:tcW w:type="dxa" w:w="1872"/>
          </w:tcPr>
          <w:p>
            <w:pPr>
              <w:spacing w:before="0" w:after="0" w:line="276" w:lineRule="auto"/>
            </w:pPr>
            <w:r>
              <w:rPr>
                <w:rFonts w:ascii="Times New Roman" w:hAnsi="Times New Roman" w:eastAsia="Times New Roman"/>
                <w:sz w:val="20"/>
              </w:rPr>
            </w:r>
          </w:p>
        </w:tc>
      </w:tr>
      <w:tr>
        <w:tc>
          <w:tcPr>
            <w:tcW w:type="dxa" w:w="1872"/>
          </w:tcPr>
          <w:p>
            <w:pPr>
              <w:spacing w:before="0" w:after="0" w:line="276" w:lineRule="auto"/>
            </w:pPr>
            <w:r>
              <w:rPr>
                <w:rFonts w:ascii="Times New Roman" w:hAnsi="Times New Roman" w:eastAsia="Times New Roman"/>
                <w:sz w:val="20"/>
              </w:rPr>
              <w:t>Outcome: Neuroticism</w:t>
            </w:r>
          </w:p>
        </w:tc>
        <w:tc>
          <w:tcPr>
            <w:tcW w:type="dxa" w:w="1872"/>
          </w:tcPr>
          <w:p>
            <w:pPr>
              <w:spacing w:before="0" w:after="0" w:line="276" w:lineRule="auto"/>
            </w:pPr>
            <w:r>
              <w:rPr>
                <w:rFonts w:ascii="Times New Roman" w:hAnsi="Times New Roman" w:eastAsia="Times New Roman"/>
                <w:sz w:val="20"/>
              </w:rPr>
              <w:t>objective</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−.009 [−.154, .137]</w:t>
            </w:r>
          </w:p>
        </w:tc>
        <w:tc>
          <w:tcPr>
            <w:tcW w:type="dxa" w:w="1872"/>
          </w:tcPr>
          <w:p>
            <w:pPr>
              <w:spacing w:before="0" w:after="0" w:line="276" w:lineRule="auto"/>
            </w:pPr>
            <w:r>
              <w:rPr>
                <w:rFonts w:ascii="Times New Roman" w:hAnsi="Times New Roman" w:eastAsia="Times New Roman"/>
                <w:sz w:val="20"/>
              </w:rPr>
              <w:t>0.82(1), .364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self-rated</w:t>
            </w:r>
          </w:p>
        </w:tc>
        <w:tc>
          <w:tcPr>
            <w:tcW w:type="dxa" w:w="1872"/>
          </w:tcPr>
          <w:p>
            <w:pPr>
              <w:spacing w:before="0" w:after="0" w:line="276" w:lineRule="auto"/>
            </w:pPr>
            <w:r>
              <w:rPr>
                <w:rFonts w:ascii="Times New Roman" w:hAnsi="Times New Roman" w:eastAsia="Times New Roman"/>
                <w:sz w:val="20"/>
              </w:rPr>
              <w:t>2</w:t>
            </w:r>
          </w:p>
        </w:tc>
        <w:tc>
          <w:tcPr>
            <w:tcW w:type="dxa" w:w="1872"/>
          </w:tcPr>
          <w:p>
            <w:pPr>
              <w:spacing w:before="0" w:after="0" w:line="276" w:lineRule="auto"/>
            </w:pPr>
            <w:r>
              <w:rPr>
                <w:rFonts w:ascii="Times New Roman" w:hAnsi="Times New Roman" w:eastAsia="Times New Roman"/>
                <w:sz w:val="20"/>
              </w:rPr>
              <w:t>.120 [−.142, .364]</w:t>
            </w:r>
          </w:p>
        </w:tc>
        <w:tc>
          <w:tcPr>
            <w:tcW w:type="dxa" w:w="1872"/>
          </w:tcPr>
          <w:p>
            <w:pPr>
              <w:spacing w:before="0" w:after="0" w:line="276" w:lineRule="auto"/>
            </w:pPr>
            <w:r>
              <w:rPr>
                <w:rFonts w:ascii="Times New Roman" w:hAnsi="Times New Roman" w:eastAsia="Times New Roman"/>
                <w:sz w:val="20"/>
              </w:rPr>
            </w:r>
          </w:p>
        </w:tc>
      </w:tr>
    </w:tbl>
    <w:p>
      <w:pPr>
        <w:spacing w:line="480" w:lineRule="auto" w:before="0" w:after="0"/>
      </w:pPr>
      <w:r>
        <w:rPr>
          <w:rFonts w:ascii="Times New Roman" w:hAnsi="Times New Roman" w:eastAsia="Times New Roman"/>
          <w:sz w:val="24"/>
        </w:rPr>
        <w:t xml:space="preserve">Note. </w:t>
      </w:r>
      <w:r>
        <w:rPr>
          <w:rFonts w:ascii="Times New Roman" w:hAnsi="Times New Roman" w:eastAsia="Times New Roman"/>
          <w:i/>
          <w:sz w:val="24"/>
        </w:rPr>
        <w:t>k</w:t>
      </w:r>
      <w:r>
        <w:rPr>
          <w:rFonts w:ascii="Times New Roman" w:hAnsi="Times New Roman" w:eastAsia="Times New Roman"/>
          <w:sz w:val="24"/>
        </w:rPr>
        <w:t xml:space="preserve"> = number of studies contributing to each subgroup. </w:t>
      </w:r>
      <w:r>
        <w:rPr>
          <w:rFonts w:ascii="Times New Roman" w:hAnsi="Times New Roman" w:eastAsia="Times New Roman"/>
          <w:i/>
          <w:sz w:val="24"/>
        </w:rPr>
        <w:t>Q_between</w:t>
      </w:r>
      <w:r>
        <w:rPr>
          <w:rFonts w:ascii="Times New Roman" w:hAnsi="Times New Roman" w:eastAsia="Times New Roman"/>
          <w:sz w:val="24"/>
        </w:rPr>
        <w:t xml:space="preserve"> = between-subgroup heterogeneity statistic testing whether subgroups' pooled effects differ significantly. Dagger (†) indicates the two significant subgroup differences at </w:t>
      </w:r>
      <w:r>
        <w:rPr>
          <w:rFonts w:ascii="Times New Roman" w:hAnsi="Times New Roman" w:eastAsia="Times New Roman"/>
          <w:i/>
          <w:sz w:val="24"/>
        </w:rPr>
        <w:t>p</w:t>
      </w:r>
      <w:r>
        <w:rPr>
          <w:rFonts w:ascii="Times New Roman" w:hAnsi="Times New Roman" w:eastAsia="Times New Roman"/>
          <w:sz w:val="24"/>
        </w:rPr>
        <w:t xml:space="preserve"> &lt; .001 after Holm-Bonferroni correction within the Extraversion trait pool. Categorical levels: Asia = East or Middle Eastern samples; non-Asia = European, North American, or Other regions. Era: pre-COVID = data collected ≤2019; COVID-era = 2020–2022. Post-COVID studies (</w:t>
      </w:r>
      <w:r>
        <w:rPr>
          <w:rFonts w:ascii="Times New Roman" w:hAnsi="Times New Roman" w:eastAsia="Times New Roman"/>
          <w:i/>
          <w:sz w:val="24"/>
        </w:rPr>
        <w:t>k</w:t>
      </w:r>
      <w:r>
        <w:rPr>
          <w:rFonts w:ascii="Times New Roman" w:hAnsi="Times New Roman" w:eastAsia="Times New Roman"/>
          <w:sz w:val="24"/>
        </w:rPr>
        <w:t xml:space="preserve"> = 2) were insufficient for subgroup isolation. Outcome type: objective = GPA, course grade, standardized exam, or MOOC platform composite; self-rated = student self-reported performance.</w:t>
      </w:r>
    </w:p>
    <w:p>
      <w:r>
        <w:br w:type="page"/>
      </w:r>
    </w:p>
    <w:p>
      <w:pPr>
        <w:spacing w:line="480" w:lineRule="auto" w:before="0" w:after="0"/>
      </w:pPr>
      <w:r>
        <w:rPr>
          <w:rFonts w:ascii="Times New Roman" w:hAnsi="Times New Roman"/>
          <w:b/>
          <w:sz w:val="24"/>
        </w:rPr>
        <w:t>Table 4</w:t>
      </w:r>
    </w:p>
    <w:p>
      <w:pPr>
        <w:spacing w:line="480" w:lineRule="auto" w:before="0" w:after="0"/>
      </w:pPr>
      <w:r>
        <w:rPr>
          <w:rFonts w:ascii="Times New Roman" w:hAnsi="Times New Roman"/>
          <w:i/>
          <w:sz w:val="24"/>
        </w:rPr>
        <w:t>Pre-Specified Sensitivity Analyses of the Primary Pooled Effect Sizes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pPr>
              <w:spacing w:before="0" w:after="0" w:line="276" w:lineRule="auto"/>
            </w:pPr>
            <w:r>
              <w:rPr>
                <w:rFonts w:ascii="Times New Roman" w:hAnsi="Times New Roman" w:eastAsia="Times New Roman"/>
                <w:b/>
                <w:sz w:val="20"/>
              </w:rPr>
              <w:t>Trait</w:t>
            </w:r>
          </w:p>
        </w:tc>
        <w:tc>
          <w:tcPr>
            <w:tcW w:type="dxa" w:w="1872"/>
          </w:tcPr>
          <w:p>
            <w:pPr>
              <w:spacing w:before="0" w:after="0" w:line="276" w:lineRule="auto"/>
            </w:pPr>
            <w:r>
              <w:rPr>
                <w:rFonts w:ascii="Times New Roman" w:hAnsi="Times New Roman" w:eastAsia="Times New Roman"/>
                <w:b/>
                <w:sz w:val="20"/>
              </w:rPr>
              <w:t>Analysis</w:t>
            </w:r>
          </w:p>
        </w:tc>
        <w:tc>
          <w:tcPr>
            <w:tcW w:type="dxa" w:w="1872"/>
          </w:tcPr>
          <w:p>
            <w:pPr>
              <w:spacing w:before="0" w:after="0" w:line="276" w:lineRule="auto"/>
            </w:pPr>
            <w:r>
              <w:rPr>
                <w:rFonts w:ascii="Times New Roman" w:hAnsi="Times New Roman" w:eastAsia="Times New Roman"/>
                <w:b/>
                <w:sz w:val="20"/>
              </w:rPr>
              <w:t>k</w:t>
            </w:r>
          </w:p>
        </w:tc>
        <w:tc>
          <w:tcPr>
            <w:tcW w:type="dxa" w:w="1872"/>
          </w:tcPr>
          <w:p>
            <w:pPr>
              <w:spacing w:before="0" w:after="0" w:line="276" w:lineRule="auto"/>
            </w:pPr>
            <w:r>
              <w:rPr>
                <w:rFonts w:ascii="Times New Roman" w:hAnsi="Times New Roman" w:eastAsia="Times New Roman"/>
                <w:b/>
                <w:sz w:val="20"/>
              </w:rPr>
              <w:t>r [95% CI]</w:t>
            </w:r>
          </w:p>
        </w:tc>
        <w:tc>
          <w:tcPr>
            <w:tcW w:type="dxa" w:w="1872"/>
          </w:tcPr>
          <w:p>
            <w:pPr>
              <w:spacing w:before="0" w:after="0" w:line="276" w:lineRule="auto"/>
            </w:pPr>
            <w:r>
              <w:rPr>
                <w:rFonts w:ascii="Times New Roman" w:hAnsi="Times New Roman" w:eastAsia="Times New Roman"/>
                <w:b/>
                <w:sz w:val="20"/>
              </w:rPr>
              <w:t>Δr vs primary</w:t>
            </w:r>
          </w:p>
        </w:tc>
      </w:tr>
      <w:tr>
        <w:tc>
          <w:tcPr>
            <w:tcW w:type="dxa" w:w="1872"/>
          </w:tcPr>
          <w:p>
            <w:pPr>
              <w:spacing w:before="0" w:after="0" w:line="276" w:lineRule="auto"/>
            </w:pPr>
            <w:r>
              <w:rPr>
                <w:rFonts w:ascii="Times New Roman" w:hAnsi="Times New Roman" w:eastAsia="Times New Roman"/>
                <w:sz w:val="20"/>
              </w:rPr>
              <w:t>Conscientiousness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.203 [.095, .307]</w:t>
            </w:r>
          </w:p>
        </w:tc>
        <w:tc>
          <w:tcPr>
            <w:tcW w:type="dxa" w:w="1872"/>
          </w:tcPr>
          <w:p>
            <w:pPr>
              <w:spacing w:before="0" w:after="0" w:line="276" w:lineRule="auto"/>
            </w:pPr>
            <w:r>
              <w:rPr>
                <w:rFonts w:ascii="Times New Roman" w:hAnsi="Times New Roman" w:eastAsia="Times New Roman"/>
                <w:sz w:val="20"/>
              </w:rPr>
              <w:t>+.036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.182 [.099, .262]</w:t>
            </w:r>
          </w:p>
        </w:tc>
        <w:tc>
          <w:tcPr>
            <w:tcW w:type="dxa" w:w="1872"/>
          </w:tcPr>
          <w:p>
            <w:pPr>
              <w:spacing w:before="0" w:after="0" w:line="276" w:lineRule="auto"/>
            </w:pPr>
            <w:r>
              <w:rPr>
                <w:rFonts w:ascii="Times New Roman" w:hAnsi="Times New Roman" w:eastAsia="Times New Roman"/>
                <w:sz w:val="20"/>
              </w:rPr>
              <w:t>+.015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2.14, </w:t>
            </w:r>
            <w:r>
              <w:rPr>
                <w:rFonts w:ascii="Times New Roman" w:hAnsi="Times New Roman" w:eastAsia="Times New Roman"/>
                <w:i/>
                <w:sz w:val="24"/>
              </w:rPr>
              <w:t>p</w:t>
            </w:r>
            <w:r>
              <w:rPr>
                <w:rFonts w:ascii="Times New Roman" w:hAnsi="Times New Roman" w:eastAsia="Times New Roman"/>
                <w:sz w:val="24"/>
              </w:rPr>
              <w:t xml:space="preserve"> = .094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.167 [.089, .243]</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Openness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.086 [−.044, .214]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.031 [−.127, .184]</w:t>
            </w:r>
          </w:p>
        </w:tc>
        <w:tc>
          <w:tcPr>
            <w:tcW w:type="dxa" w:w="1872"/>
          </w:tcPr>
          <w:p>
            <w:pPr>
              <w:spacing w:before="0" w:after="0" w:line="276" w:lineRule="auto"/>
            </w:pPr>
            <w:r>
              <w:rPr>
                <w:rFonts w:ascii="Times New Roman" w:hAnsi="Times New Roman" w:eastAsia="Times New Roman"/>
                <w:sz w:val="20"/>
              </w:rPr>
              <w:t>−.055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.097 [−.040, .228]</w:t>
            </w:r>
          </w:p>
        </w:tc>
        <w:tc>
          <w:tcPr>
            <w:tcW w:type="dxa" w:w="1872"/>
          </w:tcPr>
          <w:p>
            <w:pPr>
              <w:spacing w:before="0" w:after="0" w:line="276" w:lineRule="auto"/>
            </w:pPr>
            <w:r>
              <w:rPr>
                <w:rFonts w:ascii="Times New Roman" w:hAnsi="Times New Roman" w:eastAsia="Times New Roman"/>
                <w:sz w:val="20"/>
              </w:rPr>
              <w:t>+.011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−6.41, </w:t>
            </w:r>
            <w:r>
              <w:rPr>
                <w:rFonts w:ascii="Times New Roman" w:hAnsi="Times New Roman" w:eastAsia="Times New Roman"/>
                <w:i/>
                <w:sz w:val="24"/>
              </w:rPr>
              <w:t>p</w:t>
            </w:r>
            <w:r>
              <w:rPr>
                <w:rFonts w:ascii="Times New Roman" w:hAnsi="Times New Roman" w:eastAsia="Times New Roman"/>
                <w:sz w:val="24"/>
              </w:rPr>
              <w:t xml:space="preserve"> = .045 †</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.107 [−.017, .228]</w:t>
            </w:r>
          </w:p>
        </w:tc>
        <w:tc>
          <w:tcPr>
            <w:tcW w:type="dxa" w:w="1872"/>
          </w:tcPr>
          <w:p>
            <w:pPr>
              <w:spacing w:before="0" w:after="0" w:line="276" w:lineRule="auto"/>
            </w:pPr>
            <w:r>
              <w:rPr>
                <w:rFonts w:ascii="Times New Roman" w:hAnsi="Times New Roman" w:eastAsia="Times New Roman"/>
                <w:sz w:val="20"/>
              </w:rPr>
              <w:t>+.021</w:t>
            </w:r>
          </w:p>
        </w:tc>
      </w:tr>
      <w:tr>
        <w:tc>
          <w:tcPr>
            <w:tcW w:type="dxa" w:w="1872"/>
          </w:tcPr>
          <w:p>
            <w:pPr>
              <w:spacing w:before="0" w:after="0" w:line="276" w:lineRule="auto"/>
            </w:pPr>
            <w:r>
              <w:rPr>
                <w:rFonts w:ascii="Times New Roman" w:hAnsi="Times New Roman" w:eastAsia="Times New Roman"/>
                <w:sz w:val="20"/>
              </w:rPr>
              <w:t>Extraversion</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.002 [−.076, .080]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.018 [−.081, .117]</w:t>
            </w:r>
          </w:p>
        </w:tc>
        <w:tc>
          <w:tcPr>
            <w:tcW w:type="dxa" w:w="1872"/>
          </w:tcPr>
          <w:p>
            <w:pPr>
              <w:spacing w:before="0" w:after="0" w:line="276" w:lineRule="auto"/>
            </w:pPr>
            <w:r>
              <w:rPr>
                <w:rFonts w:ascii="Times New Roman" w:hAnsi="Times New Roman" w:eastAsia="Times New Roman"/>
                <w:sz w:val="20"/>
              </w:rPr>
              <w:t>+.016</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.003 [−.080, .086]</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2.29, </w:t>
            </w:r>
            <w:r>
              <w:rPr>
                <w:rFonts w:ascii="Times New Roman" w:hAnsi="Times New Roman" w:eastAsia="Times New Roman"/>
                <w:i/>
                <w:sz w:val="24"/>
              </w:rPr>
              <w:t>p</w:t>
            </w:r>
            <w:r>
              <w:rPr>
                <w:rFonts w:ascii="Times New Roman" w:hAnsi="Times New Roman" w:eastAsia="Times New Roman"/>
                <w:sz w:val="24"/>
              </w:rPr>
              <w:t xml:space="preserve"> = .255</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11</w:t>
            </w:r>
          </w:p>
        </w:tc>
        <w:tc>
          <w:tcPr>
            <w:tcW w:type="dxa" w:w="1872"/>
          </w:tcPr>
          <w:p>
            <w:pPr>
              <w:spacing w:before="0" w:after="0" w:line="276" w:lineRule="auto"/>
            </w:pPr>
            <w:r>
              <w:rPr>
                <w:rFonts w:ascii="Times New Roman" w:hAnsi="Times New Roman" w:eastAsia="Times New Roman"/>
                <w:sz w:val="20"/>
              </w:rPr>
              <w:t>−.036 [−.117, .046]</w:t>
            </w:r>
          </w:p>
        </w:tc>
        <w:tc>
          <w:tcPr>
            <w:tcW w:type="dxa" w:w="1872"/>
          </w:tcPr>
          <w:p>
            <w:pPr>
              <w:spacing w:before="0" w:after="0" w:line="276" w:lineRule="auto"/>
            </w:pPr>
            <w:r>
              <w:rPr>
                <w:rFonts w:ascii="Times New Roman" w:hAnsi="Times New Roman" w:eastAsia="Times New Roman"/>
                <w:sz w:val="20"/>
              </w:rPr>
              <w:t>−.038</w:t>
            </w:r>
          </w:p>
        </w:tc>
      </w:tr>
      <w:tr>
        <w:tc>
          <w:tcPr>
            <w:tcW w:type="dxa" w:w="1872"/>
          </w:tcPr>
          <w:p>
            <w:pPr>
              <w:spacing w:before="0" w:after="0" w:line="276" w:lineRule="auto"/>
            </w:pPr>
            <w:r>
              <w:rPr>
                <w:rFonts w:ascii="Times New Roman" w:hAnsi="Times New Roman" w:eastAsia="Times New Roman"/>
                <w:sz w:val="20"/>
              </w:rPr>
              <w:t>Agreeableness</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6</w:t>
            </w:r>
          </w:p>
        </w:tc>
        <w:tc>
          <w:tcPr>
            <w:tcW w:type="dxa" w:w="1872"/>
          </w:tcPr>
          <w:p>
            <w:pPr>
              <w:spacing w:before="0" w:after="0" w:line="276" w:lineRule="auto"/>
            </w:pPr>
            <w:r>
              <w:rPr>
                <w:rFonts w:ascii="Times New Roman" w:hAnsi="Times New Roman" w:eastAsia="Times New Roman"/>
                <w:sz w:val="20"/>
              </w:rPr>
              <w:t>.067 [−.089, .219]</w:t>
            </w:r>
          </w:p>
        </w:tc>
        <w:tc>
          <w:tcPr>
            <w:tcW w:type="dxa" w:w="1872"/>
          </w:tcPr>
          <w:p>
            <w:pPr>
              <w:spacing w:before="0" w:after="0" w:line="276" w:lineRule="auto"/>
            </w:pPr>
            <w:r>
              <w:rPr>
                <w:rFonts w:ascii="Times New Roman" w:hAnsi="Times New Roman" w:eastAsia="Times New Roman"/>
                <w:sz w:val="20"/>
              </w:rPr>
              <w:t>−.045</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8</w:t>
            </w:r>
          </w:p>
        </w:tc>
        <w:tc>
          <w:tcPr>
            <w:tcW w:type="dxa" w:w="1872"/>
          </w:tcPr>
          <w:p>
            <w:pPr>
              <w:spacing w:before="0" w:after="0" w:line="276" w:lineRule="auto"/>
            </w:pPr>
            <w:r>
              <w:rPr>
                <w:rFonts w:ascii="Times New Roman" w:hAnsi="Times New Roman" w:eastAsia="Times New Roman"/>
                <w:sz w:val="20"/>
              </w:rPr>
              <w:t>.126 [−.028, .273]</w:t>
            </w:r>
          </w:p>
        </w:tc>
        <w:tc>
          <w:tcPr>
            <w:tcW w:type="dxa" w:w="1872"/>
          </w:tcPr>
          <w:p>
            <w:pPr>
              <w:spacing w:before="0" w:after="0" w:line="276" w:lineRule="auto"/>
            </w:pPr>
            <w:r>
              <w:rPr>
                <w:rFonts w:ascii="Times New Roman" w:hAnsi="Times New Roman" w:eastAsia="Times New Roman"/>
                <w:sz w:val="20"/>
              </w:rPr>
              <w:t>+.014</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−8.53, </w:t>
            </w:r>
            <w:r>
              <w:rPr>
                <w:rFonts w:ascii="Times New Roman" w:hAnsi="Times New Roman" w:eastAsia="Times New Roman"/>
                <w:i/>
                <w:sz w:val="24"/>
              </w:rPr>
              <w:t>p</w:t>
            </w:r>
            <w:r>
              <w:rPr>
                <w:rFonts w:ascii="Times New Roman" w:hAnsi="Times New Roman" w:eastAsia="Times New Roman"/>
                <w:sz w:val="24"/>
              </w:rPr>
              <w:t xml:space="preserve"> = .072</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.112 [−.031, .250]</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t>Neuroticism</w:t>
            </w:r>
          </w:p>
        </w:tc>
        <w:tc>
          <w:tcPr>
            <w:tcW w:type="dxa" w:w="1872"/>
          </w:tcPr>
          <w:p>
            <w:pPr>
              <w:spacing w:before="0" w:after="0" w:line="276" w:lineRule="auto"/>
            </w:pPr>
            <w:r>
              <w:rPr>
                <w:rFonts w:ascii="Times New Roman" w:hAnsi="Times New Roman" w:eastAsia="Times New Roman"/>
                <w:sz w:val="20"/>
              </w:rPr>
              <w:t>Primary</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Tokiwa (COI)</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β-converted</w:t>
            </w:r>
          </w:p>
        </w:tc>
        <w:tc>
          <w:tcPr>
            <w:tcW w:type="dxa" w:w="1872"/>
          </w:tcPr>
          <w:p>
            <w:pPr>
              <w:spacing w:before="0" w:after="0" w:line="276" w:lineRule="auto"/>
            </w:pPr>
            <w:r>
              <w:rPr>
                <w:rFonts w:ascii="Times New Roman" w:hAnsi="Times New Roman" w:eastAsia="Times New Roman"/>
                <w:sz w:val="20"/>
              </w:rPr>
              <w:t>7</w:t>
            </w:r>
          </w:p>
        </w:tc>
        <w:tc>
          <w:tcPr>
            <w:tcW w:type="dxa" w:w="1872"/>
          </w:tcPr>
          <w:p>
            <w:pPr>
              <w:spacing w:before="0" w:after="0" w:line="276" w:lineRule="auto"/>
            </w:pPr>
            <w:r>
              <w:rPr>
                <w:rFonts w:ascii="Times New Roman" w:hAnsi="Times New Roman" w:eastAsia="Times New Roman"/>
                <w:sz w:val="20"/>
              </w:rPr>
              <w:t>−.043 [−.165, .082]</w:t>
            </w:r>
          </w:p>
        </w:tc>
        <w:tc>
          <w:tcPr>
            <w:tcW w:type="dxa" w:w="1872"/>
          </w:tcPr>
          <w:p>
            <w:pPr>
              <w:spacing w:before="0" w:after="0" w:line="276" w:lineRule="auto"/>
            </w:pPr>
            <w:r>
              <w:rPr>
                <w:rFonts w:ascii="Times New Roman" w:hAnsi="Times New Roman" w:eastAsia="Times New Roman"/>
                <w:sz w:val="20"/>
              </w:rPr>
              <w:t>−.061 ‡</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Exclude RoB &lt; 5</w:t>
            </w:r>
          </w:p>
        </w:tc>
        <w:tc>
          <w:tcPr>
            <w:tcW w:type="dxa" w:w="1872"/>
          </w:tcPr>
          <w:p>
            <w:pPr>
              <w:spacing w:before="0" w:after="0" w:line="276" w:lineRule="auto"/>
            </w:pPr>
            <w:r>
              <w:rPr>
                <w:rFonts w:ascii="Times New Roman" w:hAnsi="Times New Roman" w:eastAsia="Times New Roman"/>
                <w:sz w:val="20"/>
              </w:rPr>
              <w:t>9</w:t>
            </w:r>
          </w:p>
        </w:tc>
        <w:tc>
          <w:tcPr>
            <w:tcW w:type="dxa" w:w="1872"/>
          </w:tcPr>
          <w:p>
            <w:pPr>
              <w:spacing w:before="0" w:after="0" w:line="276" w:lineRule="auto"/>
            </w:pPr>
            <w:r>
              <w:rPr>
                <w:rFonts w:ascii="Times New Roman" w:hAnsi="Times New Roman" w:eastAsia="Times New Roman"/>
                <w:sz w:val="20"/>
              </w:rPr>
              <w:t>.019 [−.084, .121]</w:t>
            </w:r>
          </w:p>
        </w:tc>
        <w:tc>
          <w:tcPr>
            <w:tcW w:type="dxa" w:w="1872"/>
          </w:tcPr>
          <w:p>
            <w:pPr>
              <w:spacing w:before="0" w:after="0" w:line="276" w:lineRule="auto"/>
            </w:pPr>
            <w:r>
              <w:rPr>
                <w:rFonts w:ascii="Times New Roman" w:hAnsi="Times New Roman" w:eastAsia="Times New Roman"/>
                <w:sz w:val="20"/>
              </w:rPr>
              <w:t>+.001</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Egger regression</w:t>
            </w:r>
          </w:p>
        </w:tc>
        <w:tc>
          <w:tcPr>
            <w:tcW w:type="dxa" w:w="1872"/>
          </w:tcPr>
          <w:p>
            <w:pPr>
              <w:spacing w:before="0" w:after="0" w:line="276" w:lineRule="auto"/>
            </w:pPr>
            <w:r>
              <w:rPr>
                <w:rFonts w:ascii="Times New Roman" w:hAnsi="Times New Roman" w:eastAsia="Times New Roman"/>
                <w:sz w:val="20"/>
              </w:rPr>
              <w:t>—</w:t>
            </w:r>
          </w:p>
        </w:tc>
        <w:tc>
          <w:tcPr>
            <w:tcW w:type="dxa" w:w="1872"/>
          </w:tcPr>
          <w:p>
            <w:pPr>
              <w:spacing w:before="0" w:after="0" w:line="276" w:lineRule="auto"/>
            </w:pPr>
            <w:r>
              <w:rPr>
                <w:rFonts w:ascii="Times New Roman" w:hAnsi="Times New Roman" w:eastAsia="Times New Roman"/>
                <w:sz w:val="24"/>
              </w:rPr>
              <w:t xml:space="preserve">intercept = −1.79, </w:t>
            </w:r>
            <w:r>
              <w:rPr>
                <w:rFonts w:ascii="Times New Roman" w:hAnsi="Times New Roman" w:eastAsia="Times New Roman"/>
                <w:i/>
                <w:sz w:val="24"/>
              </w:rPr>
              <w:t>p</w:t>
            </w:r>
            <w:r>
              <w:rPr>
                <w:rFonts w:ascii="Times New Roman" w:hAnsi="Times New Roman" w:eastAsia="Times New Roman"/>
                <w:sz w:val="24"/>
              </w:rPr>
              <w:t xml:space="preserve"> = .304</w:t>
            </w:r>
          </w:p>
        </w:tc>
        <w:tc>
          <w:tcPr>
            <w:tcW w:type="dxa" w:w="1872"/>
          </w:tcPr>
          <w:p>
            <w:pPr>
              <w:spacing w:before="0" w:after="0" w:line="276" w:lineRule="auto"/>
            </w:pPr>
            <w:r>
              <w:rPr>
                <w:rFonts w:ascii="Times New Roman" w:hAnsi="Times New Roman" w:eastAsia="Times New Roman"/>
                <w:sz w:val="20"/>
              </w:rPr>
              <w:t>—</w:t>
            </w:r>
          </w:p>
        </w:tc>
      </w:tr>
      <w:tr>
        <w:tc>
          <w:tcPr>
            <w:tcW w:type="dxa" w:w="1872"/>
          </w:tcPr>
          <w:p>
            <w:pPr>
              <w:spacing w:before="0" w:after="0" w:line="276" w:lineRule="auto"/>
            </w:pPr>
            <w:r>
              <w:rPr>
                <w:rFonts w:ascii="Times New Roman" w:hAnsi="Times New Roman" w:eastAsia="Times New Roman"/>
                <w:sz w:val="20"/>
              </w:rPr>
            </w:r>
          </w:p>
        </w:tc>
        <w:tc>
          <w:tcPr>
            <w:tcW w:type="dxa" w:w="1872"/>
          </w:tcPr>
          <w:p>
            <w:pPr>
              <w:spacing w:before="0" w:after="0" w:line="276" w:lineRule="auto"/>
            </w:pPr>
            <w:r>
              <w:rPr>
                <w:rFonts w:ascii="Times New Roman" w:hAnsi="Times New Roman" w:eastAsia="Times New Roman"/>
                <w:sz w:val="20"/>
              </w:rPr>
              <w:t>Trim-and-fill adjusted</w:t>
            </w:r>
          </w:p>
        </w:tc>
        <w:tc>
          <w:tcPr>
            <w:tcW w:type="dxa" w:w="1872"/>
          </w:tcPr>
          <w:p>
            <w:pPr>
              <w:spacing w:before="0" w:after="0" w:line="276" w:lineRule="auto"/>
            </w:pPr>
            <w:r>
              <w:rPr>
                <w:rFonts w:ascii="Times New Roman" w:hAnsi="Times New Roman" w:eastAsia="Times New Roman"/>
                <w:sz w:val="20"/>
              </w:rPr>
              <w:t>10</w:t>
            </w:r>
          </w:p>
        </w:tc>
        <w:tc>
          <w:tcPr>
            <w:tcW w:type="dxa" w:w="1872"/>
          </w:tcPr>
          <w:p>
            <w:pPr>
              <w:spacing w:before="0" w:after="0" w:line="276" w:lineRule="auto"/>
            </w:pPr>
            <w:r>
              <w:rPr>
                <w:rFonts w:ascii="Times New Roman" w:hAnsi="Times New Roman" w:eastAsia="Times New Roman"/>
                <w:sz w:val="20"/>
              </w:rPr>
              <w:t>.018 [−.079, .114]</w:t>
            </w:r>
          </w:p>
        </w:tc>
        <w:tc>
          <w:tcPr>
            <w:tcW w:type="dxa" w:w="1872"/>
          </w:tcPr>
          <w:p>
            <w:pPr>
              <w:spacing w:before="0" w:after="0" w:line="276" w:lineRule="auto"/>
            </w:pPr>
            <w:r>
              <w:rPr>
                <w:rFonts w:ascii="Times New Roman" w:hAnsi="Times New Roman" w:eastAsia="Times New Roman"/>
                <w:sz w:val="20"/>
              </w:rPr>
              <w:t>±.000</w:t>
            </w:r>
          </w:p>
        </w:tc>
      </w:tr>
    </w:tbl>
    <w:p>
      <w:pPr>
        <w:spacing w:line="480" w:lineRule="auto" w:before="0" w:after="0"/>
      </w:pPr>
      <w:r>
        <w:rPr>
          <w:rFonts w:ascii="Times New Roman" w:hAnsi="Times New Roman" w:eastAsia="Times New Roman"/>
          <w:sz w:val="24"/>
        </w:rPr>
        <w:t xml:space="preserve">Note. Δr = change in pooled correlation from the primary analysis. A double dagger (‡) denotes a sensitivity-analysis-induced shift exceeding |Δr| = .05, which is considered potentially influential per the pre-registered threshold. A single dagger (†) denotes a significant Egger test at </w:t>
      </w:r>
      <w:r>
        <w:rPr>
          <w:rFonts w:ascii="Times New Roman" w:hAnsi="Times New Roman" w:eastAsia="Times New Roman"/>
          <w:i/>
          <w:sz w:val="24"/>
        </w:rPr>
        <w:t>p</w:t>
      </w:r>
      <w:r>
        <w:rPr>
          <w:rFonts w:ascii="Times New Roman" w:hAnsi="Times New Roman" w:eastAsia="Times New Roman"/>
          <w:sz w:val="24"/>
        </w:rPr>
        <w:t xml:space="preserve"> &lt; .05. "Exclude Tokiwa (COI)" removes the present author's prior primary study (Tokiwa, 2025); the zero delta reflects that this study did not contribute a direct </w:t>
      </w:r>
      <w:r>
        <w:rPr>
          <w:rFonts w:ascii="Times New Roman" w:hAnsi="Times New Roman" w:eastAsia="Times New Roman"/>
          <w:i/>
          <w:sz w:val="24"/>
        </w:rPr>
        <w:t>r</w:t>
      </w:r>
      <w:r>
        <w:rPr>
          <w:rFonts w:ascii="Times New Roman" w:hAnsi="Times New Roman" w:eastAsia="Times New Roman"/>
          <w:sz w:val="24"/>
        </w:rPr>
        <w:t xml:space="preserve"> to the primary pool. "Exclude β-converted" restricts the pool to studies reporting direct Pearson </w:t>
      </w:r>
      <w:r>
        <w:rPr>
          <w:rFonts w:ascii="Times New Roman" w:hAnsi="Times New Roman" w:eastAsia="Times New Roman"/>
          <w:i/>
          <w:sz w:val="24"/>
        </w:rPr>
        <w:t>r</w:t>
      </w:r>
      <w:r>
        <w:rPr>
          <w:rFonts w:ascii="Times New Roman" w:hAnsi="Times New Roman" w:eastAsia="Times New Roman"/>
          <w:sz w:val="24"/>
        </w:rPr>
        <w:t xml:space="preserve"> or Spearman </w:t>
      </w:r>
      <w:r>
        <w:rPr>
          <w:rFonts w:ascii="Times New Roman" w:hAnsi="Times New Roman" w:eastAsia="Times New Roman"/>
          <w:i/>
          <w:sz w:val="24"/>
        </w:rPr>
        <w:t>ρ</w:t>
      </w:r>
      <w:r>
        <w:rPr>
          <w:rFonts w:ascii="Times New Roman" w:hAnsi="Times New Roman" w:eastAsia="Times New Roman"/>
          <w:sz w:val="24"/>
        </w:rPr>
        <w:t>. "Exclude RoB &lt; 5" removes studies scoring below the pre-specified low-bias threshold of 5 on the JBI 8-item checklist.</w:t>
      </w:r>
    </w:p>
    <w:p>
      <w:r>
        <w:br w:type="page"/>
      </w:r>
    </w:p>
    <w:p>
      <w:pPr>
        <w:spacing w:line="480" w:lineRule="auto" w:before="0" w:after="0"/>
      </w:pPr>
      <w:r>
        <w:rPr>
          <w:rFonts w:ascii="Times New Roman" w:hAnsi="Times New Roman"/>
          <w:b/>
          <w:sz w:val="24"/>
        </w:rPr>
        <w:t>Table 5</w:t>
      </w:r>
    </w:p>
    <w:p>
      <w:pPr>
        <w:spacing w:line="480" w:lineRule="auto" w:before="0" w:after="0"/>
      </w:pPr>
      <w:r>
        <w:rPr>
          <w:rFonts w:ascii="Times New Roman" w:hAnsi="Times New Roman"/>
          <w:i/>
          <w:sz w:val="24"/>
        </w:rPr>
        <w:t>GRADE Summary of Findings: Confidence in the Pooled Associations Between Big Five Personality Traits and Academic Achievement in Online Learning Environments</w:t>
      </w:r>
    </w:p>
    <w:tbl>
      <w:tblPr>
        <w:tblStyle w:val="LightGrid-Accent1"/>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spacing w:before="0" w:after="0" w:line="276" w:lineRule="auto"/>
            </w:pPr>
            <w:r>
              <w:rPr>
                <w:rFonts w:ascii="Times New Roman" w:hAnsi="Times New Roman" w:eastAsia="Times New Roman"/>
                <w:sz w:val="24"/>
              </w:rPr>
              <w:t>Trait (</w:t>
            </w:r>
            <w:r>
              <w:rPr>
                <w:rFonts w:ascii="Times New Roman" w:hAnsi="Times New Roman" w:eastAsia="Times New Roman"/>
                <w:i/>
                <w:sz w:val="24"/>
              </w:rPr>
              <w:t>k</w:t>
            </w:r>
            <w:r>
              <w:rPr>
                <w:rFonts w:ascii="Times New Roman" w:hAnsi="Times New Roman" w:eastAsia="Times New Roman"/>
                <w:sz w:val="24"/>
              </w:rPr>
              <w:t xml:space="preserve">, </w:t>
            </w:r>
            <w:r>
              <w:rPr>
                <w:rFonts w:ascii="Times New Roman" w:hAnsi="Times New Roman" w:eastAsia="Times New Roman"/>
                <w:i/>
                <w:sz w:val="24"/>
              </w:rPr>
              <w:t>N</w:t>
            </w:r>
            <w:r>
              <w:rPr>
                <w:rFonts w:ascii="Times New Roman" w:hAnsi="Times New Roman" w:eastAsia="Times New Roman"/>
                <w:sz w:val="24"/>
              </w:rPr>
              <w:t>)</w:t>
            </w:r>
          </w:p>
        </w:tc>
        <w:tc>
          <w:tcPr>
            <w:tcW w:type="dxa" w:w="1170"/>
          </w:tcPr>
          <w:p>
            <w:pPr>
              <w:spacing w:before="0" w:after="0" w:line="276" w:lineRule="auto"/>
            </w:pPr>
            <w:r>
              <w:rPr>
                <w:rFonts w:ascii="Times New Roman" w:hAnsi="Times New Roman" w:eastAsia="Times New Roman"/>
                <w:b/>
                <w:sz w:val="20"/>
              </w:rPr>
              <w:t>Risk of Bias</w:t>
            </w:r>
          </w:p>
        </w:tc>
        <w:tc>
          <w:tcPr>
            <w:tcW w:type="dxa" w:w="1170"/>
          </w:tcPr>
          <w:p>
            <w:pPr>
              <w:spacing w:before="0" w:after="0" w:line="276" w:lineRule="auto"/>
            </w:pPr>
            <w:r>
              <w:rPr>
                <w:rFonts w:ascii="Times New Roman" w:hAnsi="Times New Roman" w:eastAsia="Times New Roman"/>
                <w:b/>
                <w:sz w:val="20"/>
              </w:rPr>
              <w:t>Inconsistency</w:t>
            </w:r>
          </w:p>
        </w:tc>
        <w:tc>
          <w:tcPr>
            <w:tcW w:type="dxa" w:w="1170"/>
          </w:tcPr>
          <w:p>
            <w:pPr>
              <w:spacing w:before="0" w:after="0" w:line="276" w:lineRule="auto"/>
            </w:pPr>
            <w:r>
              <w:rPr>
                <w:rFonts w:ascii="Times New Roman" w:hAnsi="Times New Roman" w:eastAsia="Times New Roman"/>
                <w:b/>
                <w:sz w:val="20"/>
              </w:rPr>
              <w:t>Indirectness</w:t>
            </w:r>
          </w:p>
        </w:tc>
        <w:tc>
          <w:tcPr>
            <w:tcW w:type="dxa" w:w="1170"/>
          </w:tcPr>
          <w:p>
            <w:pPr>
              <w:spacing w:before="0" w:after="0" w:line="276" w:lineRule="auto"/>
            </w:pPr>
            <w:r>
              <w:rPr>
                <w:rFonts w:ascii="Times New Roman" w:hAnsi="Times New Roman" w:eastAsia="Times New Roman"/>
                <w:b/>
                <w:sz w:val="20"/>
              </w:rPr>
              <w:t>Imprecision</w:t>
            </w:r>
          </w:p>
        </w:tc>
        <w:tc>
          <w:tcPr>
            <w:tcW w:type="dxa" w:w="1170"/>
          </w:tcPr>
          <w:p>
            <w:pPr>
              <w:spacing w:before="0" w:after="0" w:line="276" w:lineRule="auto"/>
            </w:pPr>
            <w:r>
              <w:rPr>
                <w:rFonts w:ascii="Times New Roman" w:hAnsi="Times New Roman" w:eastAsia="Times New Roman"/>
                <w:b/>
                <w:sz w:val="20"/>
              </w:rPr>
              <w:t>Publication Bias</w:t>
            </w:r>
          </w:p>
        </w:tc>
        <w:tc>
          <w:tcPr>
            <w:tcW w:type="dxa" w:w="1170"/>
          </w:tcPr>
          <w:p>
            <w:pPr>
              <w:spacing w:before="0" w:after="0" w:line="276" w:lineRule="auto"/>
            </w:pPr>
            <w:r>
              <w:rPr>
                <w:rFonts w:ascii="Times New Roman" w:hAnsi="Times New Roman" w:eastAsia="Times New Roman"/>
                <w:b/>
                <w:sz w:val="20"/>
              </w:rPr>
              <w:t>Magnitude</w:t>
            </w:r>
          </w:p>
        </w:tc>
        <w:tc>
          <w:tcPr>
            <w:tcW w:type="dxa" w:w="1170"/>
          </w:tcPr>
          <w:p>
            <w:pPr>
              <w:spacing w:before="0" w:after="0" w:line="276" w:lineRule="auto"/>
            </w:pPr>
            <w:r>
              <w:rPr>
                <w:rFonts w:ascii="Times New Roman" w:hAnsi="Times New Roman" w:eastAsia="Times New Roman"/>
                <w:b/>
                <w:sz w:val="20"/>
              </w:rPr>
              <w:t>GRADE</w:t>
            </w:r>
          </w:p>
        </w:tc>
      </w:tr>
      <w:tr>
        <w:tc>
          <w:tcPr>
            <w:tcW w:type="dxa" w:w="1170"/>
          </w:tcPr>
          <w:p>
            <w:pPr>
              <w:spacing w:before="0" w:after="0" w:line="276" w:lineRule="auto"/>
            </w:pPr>
            <w:r>
              <w:rPr>
                <w:rFonts w:ascii="Times New Roman" w:hAnsi="Times New Roman" w:eastAsia="Times New Roman"/>
                <w:sz w:val="24"/>
              </w:rPr>
              <w:t>Conscientiousness</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JBI=5.9)</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=65.1%)</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(CI width=.15)</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=.094)</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=.167)</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Openness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=92.0%)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=.045)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=.086)</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Extraversion</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JBI=5.8)</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=75.5%)</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Not serious</w:t>
              <w:br/>
              <w:t>(null robust)</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=.255)</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=.002)</w:t>
            </w:r>
          </w:p>
        </w:tc>
        <w:tc>
          <w:tcPr>
            <w:tcW w:type="dxa" w:w="1170"/>
          </w:tcPr>
          <w:p>
            <w:pPr>
              <w:spacing w:before="0" w:after="0" w:line="276" w:lineRule="auto"/>
            </w:pPr>
            <w:r>
              <w:rPr>
                <w:rFonts w:ascii="Times New Roman" w:hAnsi="Times New Roman" w:eastAsia="Times New Roman"/>
                <w:sz w:val="20"/>
              </w:rPr>
              <w:t>Moderate</w:t>
            </w:r>
          </w:p>
        </w:tc>
      </w:tr>
      <w:tr>
        <w:tc>
          <w:tcPr>
            <w:tcW w:type="dxa" w:w="1170"/>
          </w:tcPr>
          <w:p>
            <w:pPr>
              <w:spacing w:before="0" w:after="0" w:line="276" w:lineRule="auto"/>
            </w:pPr>
            <w:r>
              <w:rPr>
                <w:rFonts w:ascii="Times New Roman" w:hAnsi="Times New Roman" w:eastAsia="Times New Roman"/>
                <w:sz w:val="24"/>
              </w:rPr>
              <w:t>Agreeableness</w:t>
              <w:br/>
              <w:t>(</w:t>
            </w:r>
            <w:r>
              <w:rPr>
                <w:rFonts w:ascii="Times New Roman" w:hAnsi="Times New Roman" w:eastAsia="Times New Roman"/>
                <w:i/>
                <w:sz w:val="24"/>
              </w:rPr>
              <w:t>k</w:t>
            </w:r>
            <w:r>
              <w:rPr>
                <w:rFonts w:ascii="Times New Roman" w:hAnsi="Times New Roman" w:eastAsia="Times New Roman"/>
                <w:sz w:val="24"/>
              </w:rPr>
              <w:t xml:space="preserve">=9, </w:t>
            </w:r>
            <w:r>
              <w:rPr>
                <w:rFonts w:ascii="Times New Roman" w:hAnsi="Times New Roman" w:eastAsia="Times New Roman"/>
                <w:i/>
                <w:sz w:val="24"/>
              </w:rPr>
              <w:t>N</w:t>
            </w:r>
            <w:r>
              <w:rPr>
                <w:rFonts w:ascii="Times New Roman" w:hAnsi="Times New Roman" w:eastAsia="Times New Roman"/>
                <w:sz w:val="24"/>
              </w:rPr>
              <w:t>=3,363)</w:t>
            </w:r>
          </w:p>
        </w:tc>
        <w:tc>
          <w:tcPr>
            <w:tcW w:type="dxa" w:w="1170"/>
          </w:tcPr>
          <w:p>
            <w:pPr>
              <w:spacing w:before="0" w:after="0" w:line="276" w:lineRule="auto"/>
            </w:pPr>
            <w:r>
              <w:rPr>
                <w:rFonts w:ascii="Times New Roman" w:hAnsi="Times New Roman" w:eastAsia="Times New Roman"/>
                <w:sz w:val="20"/>
              </w:rPr>
              <w:t>Not serious</w:t>
              <w:br/>
              <w:t>(mean JBI=5.7)</w:t>
            </w:r>
          </w:p>
        </w:tc>
        <w:tc>
          <w:tcPr>
            <w:tcW w:type="dxa" w:w="1170"/>
          </w:tcPr>
          <w:p>
            <w:pPr>
              <w:spacing w:before="0" w:after="0" w:line="276" w:lineRule="auto"/>
            </w:pPr>
            <w:r>
              <w:rPr>
                <w:rFonts w:ascii="Times New Roman" w:hAnsi="Times New Roman" w:eastAsia="Times New Roman"/>
                <w:sz w:val="24"/>
              </w:rPr>
              <w:t>Very serious</w:t>
              <w:br/>
              <w:t>(</w:t>
            </w:r>
            <w:r>
              <w:rPr>
                <w:rFonts w:ascii="Times New Roman" w:hAnsi="Times New Roman" w:eastAsia="Times New Roman"/>
                <w:i/>
                <w:sz w:val="24"/>
              </w:rPr>
              <w:t>I²</w:t>
            </w:r>
            <w:r>
              <w:rPr>
                <w:rFonts w:ascii="Times New Roman" w:hAnsi="Times New Roman" w:eastAsia="Times New Roman"/>
                <w:sz w:val="24"/>
              </w:rPr>
              <w:t>=96.2%)</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(CI crosses 0)</w:t>
            </w:r>
          </w:p>
        </w:tc>
        <w:tc>
          <w:tcPr>
            <w:tcW w:type="dxa" w:w="1170"/>
          </w:tcPr>
          <w:p>
            <w:pPr>
              <w:spacing w:before="0" w:after="0" w:line="276" w:lineRule="auto"/>
            </w:pPr>
            <w:r>
              <w:rPr>
                <w:rFonts w:ascii="Times New Roman" w:hAnsi="Times New Roman" w:eastAsia="Times New Roman"/>
                <w:sz w:val="24"/>
              </w:rPr>
              <w:t>Serious</w:t>
              <w:br/>
              <w:t xml:space="preserve">(Egger </w:t>
            </w:r>
            <w:r>
              <w:rPr>
                <w:rFonts w:ascii="Times New Roman" w:hAnsi="Times New Roman" w:eastAsia="Times New Roman"/>
                <w:i/>
                <w:sz w:val="24"/>
              </w:rPr>
              <w:t>p</w:t>
            </w:r>
            <w:r>
              <w:rPr>
                <w:rFonts w:ascii="Times New Roman" w:hAnsi="Times New Roman" w:eastAsia="Times New Roman"/>
                <w:sz w:val="24"/>
              </w:rPr>
              <w:t>=.072) †</w:t>
            </w:r>
          </w:p>
        </w:tc>
        <w:tc>
          <w:tcPr>
            <w:tcW w:type="dxa" w:w="1170"/>
          </w:tcPr>
          <w:p>
            <w:pPr>
              <w:spacing w:before="0" w:after="0" w:line="276" w:lineRule="auto"/>
            </w:pPr>
            <w:r>
              <w:rPr>
                <w:rFonts w:ascii="Times New Roman" w:hAnsi="Times New Roman" w:eastAsia="Times New Roman"/>
                <w:sz w:val="24"/>
              </w:rPr>
              <w:t>Small</w:t>
              <w:br/>
              <w:t>(</w:t>
            </w:r>
            <w:r>
              <w:rPr>
                <w:rFonts w:ascii="Times New Roman" w:hAnsi="Times New Roman" w:eastAsia="Times New Roman"/>
                <w:i/>
                <w:sz w:val="24"/>
              </w:rPr>
              <w:t>r</w:t>
            </w:r>
            <w:r>
              <w:rPr>
                <w:rFonts w:ascii="Times New Roman" w:hAnsi="Times New Roman" w:eastAsia="Times New Roman"/>
                <w:sz w:val="24"/>
              </w:rPr>
              <w:t>=.112)</w:t>
            </w:r>
          </w:p>
        </w:tc>
        <w:tc>
          <w:tcPr>
            <w:tcW w:type="dxa" w:w="1170"/>
          </w:tcPr>
          <w:p>
            <w:pPr>
              <w:spacing w:before="0" w:after="0" w:line="276" w:lineRule="auto"/>
            </w:pPr>
            <w:r>
              <w:rPr>
                <w:rFonts w:ascii="Times New Roman" w:hAnsi="Times New Roman" w:eastAsia="Times New Roman"/>
                <w:sz w:val="20"/>
              </w:rPr>
              <w:t>Low</w:t>
            </w:r>
          </w:p>
        </w:tc>
      </w:tr>
      <w:tr>
        <w:tc>
          <w:tcPr>
            <w:tcW w:type="dxa" w:w="1170"/>
          </w:tcPr>
          <w:p>
            <w:pPr>
              <w:spacing w:before="0" w:after="0" w:line="276" w:lineRule="auto"/>
            </w:pPr>
            <w:r>
              <w:rPr>
                <w:rFonts w:ascii="Times New Roman" w:hAnsi="Times New Roman" w:eastAsia="Times New Roman"/>
                <w:sz w:val="24"/>
              </w:rPr>
              <w:t>Neuroticism</w:t>
              <w:br/>
              <w:t>(</w:t>
            </w:r>
            <w:r>
              <w:rPr>
                <w:rFonts w:ascii="Times New Roman" w:hAnsi="Times New Roman" w:eastAsia="Times New Roman"/>
                <w:i/>
                <w:sz w:val="24"/>
              </w:rPr>
              <w:t>k</w:t>
            </w:r>
            <w:r>
              <w:rPr>
                <w:rFonts w:ascii="Times New Roman" w:hAnsi="Times New Roman" w:eastAsia="Times New Roman"/>
                <w:sz w:val="24"/>
              </w:rPr>
              <w:t xml:space="preserve">=10, </w:t>
            </w:r>
            <w:r>
              <w:rPr>
                <w:rFonts w:ascii="Times New Roman" w:hAnsi="Times New Roman" w:eastAsia="Times New Roman"/>
                <w:i/>
                <w:sz w:val="24"/>
              </w:rPr>
              <w:t>N</w:t>
            </w:r>
            <w:r>
              <w:rPr>
                <w:rFonts w:ascii="Times New Roman" w:hAnsi="Times New Roman" w:eastAsia="Times New Roman"/>
                <w:sz w:val="24"/>
              </w:rPr>
              <w:t>=3,384)</w:t>
            </w:r>
          </w:p>
        </w:tc>
        <w:tc>
          <w:tcPr>
            <w:tcW w:type="dxa" w:w="1170"/>
          </w:tcPr>
          <w:p>
            <w:pPr>
              <w:spacing w:before="0" w:after="0" w:line="276" w:lineRule="auto"/>
            </w:pPr>
            <w:r>
              <w:rPr>
                <w:rFonts w:ascii="Times New Roman" w:hAnsi="Times New Roman" w:eastAsia="Times New Roman"/>
                <w:sz w:val="20"/>
              </w:rPr>
              <w:t>Not serious</w:t>
              <w:br/>
              <w:t>(mean JBI=5.9)</w:t>
            </w:r>
          </w:p>
        </w:tc>
        <w:tc>
          <w:tcPr>
            <w:tcW w:type="dxa" w:w="1170"/>
          </w:tcPr>
          <w:p>
            <w:pPr>
              <w:spacing w:before="0" w:after="0" w:line="276" w:lineRule="auto"/>
            </w:pPr>
            <w:r>
              <w:rPr>
                <w:rFonts w:ascii="Times New Roman" w:hAnsi="Times New Roman" w:eastAsia="Times New Roman"/>
                <w:sz w:val="24"/>
              </w:rPr>
              <w:t>Serious</w:t>
              <w:br/>
              <w:t>(</w:t>
            </w:r>
            <w:r>
              <w:rPr>
                <w:rFonts w:ascii="Times New Roman" w:hAnsi="Times New Roman" w:eastAsia="Times New Roman"/>
                <w:i/>
                <w:sz w:val="24"/>
              </w:rPr>
              <w:t>I²</w:t>
            </w:r>
            <w:r>
              <w:rPr>
                <w:rFonts w:ascii="Times New Roman" w:hAnsi="Times New Roman" w:eastAsia="Times New Roman"/>
                <w:sz w:val="24"/>
              </w:rPr>
              <w:t>=79.0%)</w:t>
            </w:r>
          </w:p>
        </w:tc>
        <w:tc>
          <w:tcPr>
            <w:tcW w:type="dxa" w:w="1170"/>
          </w:tcPr>
          <w:p>
            <w:pPr>
              <w:spacing w:before="0" w:after="0" w:line="276" w:lineRule="auto"/>
            </w:pPr>
            <w:r>
              <w:rPr>
                <w:rFonts w:ascii="Times New Roman" w:hAnsi="Times New Roman" w:eastAsia="Times New Roman"/>
                <w:sz w:val="20"/>
              </w:rPr>
              <w:t>Not serious</w:t>
            </w:r>
          </w:p>
        </w:tc>
        <w:tc>
          <w:tcPr>
            <w:tcW w:type="dxa" w:w="1170"/>
          </w:tcPr>
          <w:p>
            <w:pPr>
              <w:spacing w:before="0" w:after="0" w:line="276" w:lineRule="auto"/>
            </w:pPr>
            <w:r>
              <w:rPr>
                <w:rFonts w:ascii="Times New Roman" w:hAnsi="Times New Roman" w:eastAsia="Times New Roman"/>
                <w:sz w:val="20"/>
              </w:rPr>
              <w:t>Serious</w:t>
              <w:br/>
              <w:t>(null, wide CI)</w:t>
            </w:r>
          </w:p>
        </w:tc>
        <w:tc>
          <w:tcPr>
            <w:tcW w:type="dxa" w:w="1170"/>
          </w:tcPr>
          <w:p>
            <w:pPr>
              <w:spacing w:before="0" w:after="0" w:line="276" w:lineRule="auto"/>
            </w:pPr>
            <w:r>
              <w:rPr>
                <w:rFonts w:ascii="Times New Roman" w:hAnsi="Times New Roman" w:eastAsia="Times New Roman"/>
                <w:sz w:val="24"/>
              </w:rPr>
              <w:t>Not serious</w:t>
              <w:br/>
              <w:t xml:space="preserve">(Egger </w:t>
            </w:r>
            <w:r>
              <w:rPr>
                <w:rFonts w:ascii="Times New Roman" w:hAnsi="Times New Roman" w:eastAsia="Times New Roman"/>
                <w:i/>
                <w:sz w:val="24"/>
              </w:rPr>
              <w:t>p</w:t>
            </w:r>
            <w:r>
              <w:rPr>
                <w:rFonts w:ascii="Times New Roman" w:hAnsi="Times New Roman" w:eastAsia="Times New Roman"/>
                <w:sz w:val="24"/>
              </w:rPr>
              <w:t>=.304)</w:t>
            </w:r>
          </w:p>
        </w:tc>
        <w:tc>
          <w:tcPr>
            <w:tcW w:type="dxa" w:w="1170"/>
          </w:tcPr>
          <w:p>
            <w:pPr>
              <w:spacing w:before="0" w:after="0" w:line="276" w:lineRule="auto"/>
            </w:pPr>
            <w:r>
              <w:rPr>
                <w:rFonts w:ascii="Times New Roman" w:hAnsi="Times New Roman" w:eastAsia="Times New Roman"/>
                <w:sz w:val="24"/>
              </w:rPr>
              <w:t>Null</w:t>
              <w:br/>
              <w:t>(</w:t>
            </w:r>
            <w:r>
              <w:rPr>
                <w:rFonts w:ascii="Times New Roman" w:hAnsi="Times New Roman" w:eastAsia="Times New Roman"/>
                <w:i/>
                <w:sz w:val="24"/>
              </w:rPr>
              <w:t>r</w:t>
            </w:r>
            <w:r>
              <w:rPr>
                <w:rFonts w:ascii="Times New Roman" w:hAnsi="Times New Roman" w:eastAsia="Times New Roman"/>
                <w:sz w:val="24"/>
              </w:rPr>
              <w:t>=.018)</w:t>
            </w:r>
          </w:p>
        </w:tc>
        <w:tc>
          <w:tcPr>
            <w:tcW w:type="dxa" w:w="1170"/>
          </w:tcPr>
          <w:p>
            <w:pPr>
              <w:spacing w:before="0" w:after="0" w:line="276" w:lineRule="auto"/>
            </w:pPr>
            <w:r>
              <w:rPr>
                <w:rFonts w:ascii="Times New Roman" w:hAnsi="Times New Roman" w:eastAsia="Times New Roman"/>
                <w:sz w:val="20"/>
              </w:rPr>
              <w:t>Low</w:t>
            </w:r>
          </w:p>
        </w:tc>
      </w:tr>
    </w:tbl>
    <w:p>
      <w:pPr>
        <w:spacing w:line="480" w:lineRule="auto" w:before="0" w:after="0"/>
      </w:pPr>
      <w:r>
        <w:rPr>
          <w:rFonts w:ascii="Times New Roman" w:hAnsi="Times New Roman" w:eastAsia="Times New Roman"/>
          <w:sz w:val="24"/>
        </w:rPr>
        <w:t>Note. GRADE = Grading of Recommendations, Assessment, Development and Evaluations, adapted for observational correlational syntheses (Schünemann et al., 2019). Five standard domains are evaluated per trait: Risk of Bias (mean JBI aggregate score across studies in the pool; serious if mean &lt; 5), Inconsistency (</w:t>
      </w:r>
      <w:r>
        <w:rPr>
          <w:rFonts w:ascii="Times New Roman" w:hAnsi="Times New Roman" w:eastAsia="Times New Roman"/>
          <w:i/>
          <w:sz w:val="24"/>
        </w:rPr>
        <w:t>I²</w:t>
      </w:r>
      <w:r>
        <w:rPr>
          <w:rFonts w:ascii="Times New Roman" w:hAnsi="Times New Roman" w:eastAsia="Times New Roman"/>
          <w:sz w:val="24"/>
        </w:rPr>
        <w:t xml:space="preserve"> and prediction interval; serious if </w:t>
      </w:r>
      <w:r>
        <w:rPr>
          <w:rFonts w:ascii="Times New Roman" w:hAnsi="Times New Roman" w:eastAsia="Times New Roman"/>
          <w:i/>
          <w:sz w:val="24"/>
        </w:rPr>
        <w:t>I²</w:t>
      </w:r>
      <w:r>
        <w:rPr>
          <w:rFonts w:ascii="Times New Roman" w:hAnsi="Times New Roman" w:eastAsia="Times New Roman"/>
          <w:sz w:val="24"/>
        </w:rPr>
        <w:t xml:space="preserve"> &gt; 50%, very serious if </w:t>
      </w:r>
      <w:r>
        <w:rPr>
          <w:rFonts w:ascii="Times New Roman" w:hAnsi="Times New Roman" w:eastAsia="Times New Roman"/>
          <w:i/>
          <w:sz w:val="24"/>
        </w:rPr>
        <w:t>I²</w:t>
      </w:r>
      <w:r>
        <w:rPr>
          <w:rFonts w:ascii="Times New Roman" w:hAnsi="Times New Roman" w:eastAsia="Times New Roman"/>
          <w:sz w:val="24"/>
        </w:rPr>
        <w:t xml:space="preserve"> &gt; 75%), Indirectness (population, exposure, or outcome indirectness relative to the review question), Imprecision (serious if 95% CI crosses the null or is wider than 2 × MOI of |r| = .10), and Publication Bias (serious if Egger's test is significant at </w:t>
      </w:r>
      <w:r>
        <w:rPr>
          <w:rFonts w:ascii="Times New Roman" w:hAnsi="Times New Roman" w:eastAsia="Times New Roman"/>
          <w:i/>
          <w:sz w:val="24"/>
        </w:rPr>
        <w:t>p</w:t>
      </w:r>
      <w:r>
        <w:rPr>
          <w:rFonts w:ascii="Times New Roman" w:hAnsi="Times New Roman" w:eastAsia="Times New Roman"/>
          <w:sz w:val="24"/>
        </w:rPr>
        <w:t xml:space="preserve"> &lt; .05 with asymmetric funnel plot). Magnitude (|r|) is provided for descriptive context but was not grounds for upgrade under the large-magnitude criterion of |r| ≥ .30. Dagger (†) denotes Egger's test intercept suggestive of small-study or publication bias. GRADE ratings: High = further research is very unlikely to change confidence; Moderate = further research is likely to have an important impact; Low = further research is very likely to have an important impact; Very Low = any estimate of effect is very uncertain. All estimates in the present synthesis fall within the Moderate-to-Low confidence range, reflecting the modest </w:t>
      </w:r>
      <w:r>
        <w:rPr>
          <w:rFonts w:ascii="Times New Roman" w:hAnsi="Times New Roman" w:eastAsia="Times New Roman"/>
          <w:i/>
          <w:sz w:val="24"/>
        </w:rPr>
        <w:t>k</w:t>
      </w:r>
      <w:r>
        <w:rPr>
          <w:rFonts w:ascii="Times New Roman" w:hAnsi="Times New Roman" w:eastAsia="Times New Roman"/>
          <w:sz w:val="24"/>
        </w:rPr>
        <w:t xml:space="preserve"> of the available online-specific literature.</w:t>
      </w:r>
    </w:p>
    <w:p>
      <w:r>
        <w:br w:type="page"/>
      </w:r>
    </w:p>
    <w:p>
      <w:pPr>
        <w:spacing w:line="480" w:lineRule="auto" w:before="0" w:after="0"/>
      </w:pPr>
      <w:r>
        <w:rPr>
          <w:rFonts w:ascii="Times New Roman" w:hAnsi="Times New Roman"/>
          <w:b/>
          <w:sz w:val="24"/>
        </w:rPr>
        <w:t>Figure 1</w:t>
      </w:r>
    </w:p>
    <w:p>
      <w:pPr>
        <w:spacing w:line="480" w:lineRule="auto" w:before="0" w:after="0"/>
      </w:pPr>
      <w:r>
        <w:rPr>
          <w:rFonts w:ascii="Times New Roman" w:hAnsi="Times New Roman"/>
          <w:i/>
          <w:sz w:val="24"/>
        </w:rPr>
        <w:t>PRISMA 2020 Flow Diagram of the Study Selection Process</w:t>
      </w:r>
    </w:p>
    <w:p>
      <w:pPr>
        <w:jc w:val="center"/>
      </w:pPr>
      <w:r>
        <w:drawing>
          <wp:inline xmlns:a="http://schemas.openxmlformats.org/drawingml/2006/main" xmlns:pic="http://schemas.openxmlformats.org/drawingml/2006/picture">
            <wp:extent cx="5486400" cy="7251492"/>
            <wp:docPr id="1" name="Picture 1"/>
            <wp:cNvGraphicFramePr>
              <a:graphicFrameLocks noChangeAspect="1"/>
            </wp:cNvGraphicFramePr>
            <a:graphic>
              <a:graphicData uri="http://schemas.openxmlformats.org/drawingml/2006/picture">
                <pic:pic>
                  <pic:nvPicPr>
                    <pic:cNvPr id="0" name="prisma_flow.png"/>
                    <pic:cNvPicPr/>
                  </pic:nvPicPr>
                  <pic:blipFill>
                    <a:blip r:embed="rId10"/>
                    <a:stretch>
                      <a:fillRect/>
                    </a:stretch>
                  </pic:blipFill>
                  <pic:spPr>
                    <a:xfrm>
                      <a:off x="0" y="0"/>
                      <a:ext cx="5486400" cy="7251492"/>
                    </a:xfrm>
                    <a:prstGeom prst="rect"/>
                  </pic:spPr>
                </pic:pic>
              </a:graphicData>
            </a:graphic>
          </wp:inline>
        </w:drawing>
      </w:r>
    </w:p>
    <w:p>
      <w:pPr>
        <w:spacing w:line="480" w:lineRule="auto" w:before="0" w:after="0"/>
      </w:pPr>
      <w:r>
        <w:rPr>
          <w:rFonts w:ascii="Times New Roman" w:hAnsi="Times New Roman" w:eastAsia="Times New Roman"/>
          <w:sz w:val="24"/>
        </w:rPr>
        <w:t>Note. Flow diagram adapted from the PRISMA 2020 statement (Page et al., 2021). Records were identified through WebSearch-based formal search (</w:t>
      </w:r>
      <w:r>
        <w:rPr>
          <w:rFonts w:ascii="Times New Roman" w:hAnsi="Times New Roman" w:eastAsia="Times New Roman"/>
          <w:i/>
          <w:sz w:val="24"/>
        </w:rPr>
        <w:t>n</w:t>
      </w:r>
      <w:r>
        <w:rPr>
          <w:rFonts w:ascii="Times New Roman" w:hAnsi="Times New Roman" w:eastAsia="Times New Roman"/>
          <w:sz w:val="24"/>
        </w:rPr>
        <w:t xml:space="preserve"> = 80 from eight structured queries), preliminary informal search yielding a previously curated corpus (</w:t>
      </w:r>
      <w:r>
        <w:rPr>
          <w:rFonts w:ascii="Times New Roman" w:hAnsi="Times New Roman" w:eastAsia="Times New Roman"/>
          <w:i/>
          <w:sz w:val="24"/>
        </w:rPr>
        <w:t>n</w:t>
      </w:r>
      <w:r>
        <w:rPr>
          <w:rFonts w:ascii="Times New Roman" w:hAnsi="Times New Roman" w:eastAsia="Times New Roman"/>
          <w:sz w:val="24"/>
        </w:rPr>
        <w:t xml:space="preserve"> = 28), and citation snowballing combined with open-access repository downloads (</w:t>
      </w:r>
      <w:r>
        <w:rPr>
          <w:rFonts w:ascii="Times New Roman" w:hAnsi="Times New Roman" w:eastAsia="Times New Roman"/>
          <w:i/>
          <w:sz w:val="24"/>
        </w:rPr>
        <w:t>n</w:t>
      </w:r>
      <w:r>
        <w:rPr>
          <w:rFonts w:ascii="Times New Roman" w:hAnsi="Times New Roman" w:eastAsia="Times New Roman"/>
          <w:sz w:val="24"/>
        </w:rPr>
        <w:t xml:space="preserve"> = 12), for a total of 120 records. After deduplication (</w:t>
      </w:r>
      <w:r>
        <w:rPr>
          <w:rFonts w:ascii="Times New Roman" w:hAnsi="Times New Roman" w:eastAsia="Times New Roman"/>
          <w:i/>
          <w:sz w:val="24"/>
        </w:rPr>
        <w:t>n</w:t>
      </w:r>
      <w:r>
        <w:rPr>
          <w:rFonts w:ascii="Times New Roman" w:hAnsi="Times New Roman" w:eastAsia="Times New Roman"/>
          <w:sz w:val="24"/>
        </w:rPr>
        <w:t xml:space="preserve"> = 40 removed), 80 records underwent title and abstract screening, with 25 excluded primarily for wrong population, non-Big-Five personality frameworks, or no online learning component. Of 43 full-text reports sought, 5 were not retrievable (paywall), and 38 were assessed for eligibility. Eleven reports were excluded at the full-text stage with explicit reasons: non-Big-Five framework (</w:t>
      </w:r>
      <w:r>
        <w:rPr>
          <w:rFonts w:ascii="Times New Roman" w:hAnsi="Times New Roman" w:eastAsia="Times New Roman"/>
          <w:i/>
          <w:sz w:val="24"/>
        </w:rPr>
        <w:t>n</w:t>
      </w:r>
      <w:r>
        <w:rPr>
          <w:rFonts w:ascii="Times New Roman" w:hAnsi="Times New Roman" w:eastAsia="Times New Roman"/>
          <w:sz w:val="24"/>
        </w:rPr>
        <w:t xml:space="preserve"> = 5; MBTI, Proactive Personality, TAM, TUE, and other non-FFM operationalization), face-to-face modality (</w:t>
      </w:r>
      <w:r>
        <w:rPr>
          <w:rFonts w:ascii="Times New Roman" w:hAnsi="Times New Roman" w:eastAsia="Times New Roman"/>
          <w:i/>
          <w:sz w:val="24"/>
        </w:rPr>
        <w:t>n</w:t>
      </w:r>
      <w:r>
        <w:rPr>
          <w:rFonts w:ascii="Times New Roman" w:hAnsi="Times New Roman" w:eastAsia="Times New Roman"/>
          <w:sz w:val="24"/>
        </w:rPr>
        <w:t xml:space="preserve"> = 4; A-09 Bhattacharjee &amp; Ramkumar, 2025; A-10 Boonyapison et al., 2025; A-14 Eilam et al., 2009; A-16 Hidalgo-Fuentes et al., 2024), sample overlap with an already-included study (</w:t>
      </w:r>
      <w:r>
        <w:rPr>
          <w:rFonts w:ascii="Times New Roman" w:hAnsi="Times New Roman" w:eastAsia="Times New Roman"/>
          <w:i/>
          <w:sz w:val="24"/>
        </w:rPr>
        <w:t>n</w:t>
      </w:r>
      <w:r>
        <w:rPr>
          <w:rFonts w:ascii="Times New Roman" w:hAnsi="Times New Roman" w:eastAsia="Times New Roman"/>
          <w:sz w:val="24"/>
        </w:rPr>
        <w:t xml:space="preserve"> = 1; A-05 Audet et al., 2023 overlapped with A-04 Audet et al., 2021), and effect size not extractable (</w:t>
      </w:r>
      <w:r>
        <w:rPr>
          <w:rFonts w:ascii="Times New Roman" w:hAnsi="Times New Roman" w:eastAsia="Times New Roman"/>
          <w:i/>
          <w:sz w:val="24"/>
        </w:rPr>
        <w:t>n</w:t>
      </w:r>
      <w:r>
        <w:rPr>
          <w:rFonts w:ascii="Times New Roman" w:hAnsi="Times New Roman" w:eastAsia="Times New Roman"/>
          <w:sz w:val="24"/>
        </w:rPr>
        <w:t xml:space="preserve"> = 1; A-24 Tlili et al., 2023, lag sequential analysis). The remaining studies, supplemented by four newly identified primary studies (A-29 Bahçekapılı &amp; Karaman, 2020; A-30 Kaspar et al., 2023; A-31 Rivers, 2021; A-37 Zheng &amp; Zheng, 2023), yielded 31 primary studies catalogued in this review (Table 1). Of these, 25 were retained for qualitative synthesis, and 10 contributed direct Pearson correlations or β-converted effect sizes to the primary quantitative achievement pool (with two studies — A-28 Yu, 2021 and A-30 Kaspar et al., 2023 — providing β-converted effect sizes via Peterson and Brown's, 2005, approximation). The remaining 15 retained studies contributed only to secondary-outcome narrative synthesis.</w:t>
      </w:r>
    </w:p>
    <w:p>
      <w:r>
        <w:br w:type="page"/>
      </w:r>
    </w:p>
    <w:p>
      <w:pPr>
        <w:spacing w:line="480" w:lineRule="auto" w:before="0" w:after="0"/>
      </w:pPr>
      <w:r>
        <w:rPr>
          <w:rFonts w:ascii="Times New Roman" w:hAnsi="Times New Roman"/>
          <w:b/>
          <w:sz w:val="24"/>
        </w:rPr>
        <w:t>Figure 2</w:t>
      </w:r>
    </w:p>
    <w:p>
      <w:pPr>
        <w:spacing w:line="480" w:lineRule="auto" w:before="0" w:after="0"/>
      </w:pPr>
      <w:r>
        <w:rPr>
          <w:rFonts w:ascii="Times New Roman" w:hAnsi="Times New Roman"/>
          <w:i/>
          <w:sz w:val="24"/>
        </w:rPr>
        <w:t>Forest Plot: Conscientiousness and Academic Achievement in Online Learning Environments</w:t>
      </w:r>
    </w:p>
    <w:p>
      <w:pPr>
        <w:jc w:val="center"/>
      </w:pPr>
      <w:r>
        <w:drawing>
          <wp:inline xmlns:a="http://schemas.openxmlformats.org/drawingml/2006/main" xmlns:pic="http://schemas.openxmlformats.org/drawingml/2006/picture">
            <wp:extent cx="5486400" cy="3620779"/>
            <wp:docPr id="2" name="Picture 2"/>
            <wp:cNvGraphicFramePr>
              <a:graphicFrameLocks noChangeAspect="1"/>
            </wp:cNvGraphicFramePr>
            <a:graphic>
              <a:graphicData uri="http://schemas.openxmlformats.org/drawingml/2006/picture">
                <pic:pic>
                  <pic:nvPicPr>
                    <pic:cNvPr id="0" name="forest_C.png"/>
                    <pic:cNvPicPr/>
                  </pic:nvPicPr>
                  <pic:blipFill>
                    <a:blip r:embed="rId11"/>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Conscientiousness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3</w:t>
      </w:r>
    </w:p>
    <w:p>
      <w:pPr>
        <w:spacing w:line="480" w:lineRule="auto" w:before="0" w:after="0"/>
      </w:pPr>
      <w:r>
        <w:rPr>
          <w:rFonts w:ascii="Times New Roman" w:hAnsi="Times New Roman"/>
          <w:i/>
          <w:sz w:val="24"/>
        </w:rPr>
        <w:t>Forest Plot: Agreeableness and Academic Achievement in Online Learning Environments</w:t>
      </w:r>
    </w:p>
    <w:p>
      <w:pPr>
        <w:jc w:val="center"/>
      </w:pPr>
      <w:r>
        <w:drawing>
          <wp:inline xmlns:a="http://schemas.openxmlformats.org/drawingml/2006/main" xmlns:pic="http://schemas.openxmlformats.org/drawingml/2006/picture">
            <wp:extent cx="5486400" cy="3403941"/>
            <wp:docPr id="3" name="Picture 3"/>
            <wp:cNvGraphicFramePr>
              <a:graphicFrameLocks noChangeAspect="1"/>
            </wp:cNvGraphicFramePr>
            <a:graphic>
              <a:graphicData uri="http://schemas.openxmlformats.org/drawingml/2006/picture">
                <pic:pic>
                  <pic:nvPicPr>
                    <pic:cNvPr id="0" name="forest_A.png"/>
                    <pic:cNvPicPr/>
                  </pic:nvPicPr>
                  <pic:blipFill>
                    <a:blip r:embed="rId12"/>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Agreeableness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4</w:t>
      </w:r>
    </w:p>
    <w:p>
      <w:pPr>
        <w:spacing w:line="480" w:lineRule="auto" w:before="0" w:after="0"/>
      </w:pPr>
      <w:r>
        <w:rPr>
          <w:rFonts w:ascii="Times New Roman" w:hAnsi="Times New Roman"/>
          <w:i/>
          <w:sz w:val="24"/>
        </w:rPr>
        <w:t>Forest Plot: Openness and Academic Achievement in Online Learning Environments</w:t>
      </w:r>
    </w:p>
    <w:p>
      <w:pPr>
        <w:jc w:val="center"/>
      </w:pPr>
      <w:r>
        <w:drawing>
          <wp:inline xmlns:a="http://schemas.openxmlformats.org/drawingml/2006/main" xmlns:pic="http://schemas.openxmlformats.org/drawingml/2006/picture">
            <wp:extent cx="5486400" cy="3403941"/>
            <wp:docPr id="4" name="Picture 4"/>
            <wp:cNvGraphicFramePr>
              <a:graphicFrameLocks noChangeAspect="1"/>
            </wp:cNvGraphicFramePr>
            <a:graphic>
              <a:graphicData uri="http://schemas.openxmlformats.org/drawingml/2006/picture">
                <pic:pic>
                  <pic:nvPicPr>
                    <pic:cNvPr id="0" name="forest_O.png"/>
                    <pic:cNvPicPr/>
                  </pic:nvPicPr>
                  <pic:blipFill>
                    <a:blip r:embed="rId13"/>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Openness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5</w:t>
      </w:r>
    </w:p>
    <w:p>
      <w:pPr>
        <w:spacing w:line="480" w:lineRule="auto" w:before="0" w:after="0"/>
      </w:pPr>
      <w:r>
        <w:rPr>
          <w:rFonts w:ascii="Times New Roman" w:hAnsi="Times New Roman"/>
          <w:i/>
          <w:sz w:val="24"/>
        </w:rPr>
        <w:t>Forest Plot: Neuroticism and Academic Achievement in Online Learning Environments</w:t>
      </w:r>
    </w:p>
    <w:p>
      <w:pPr>
        <w:jc w:val="center"/>
      </w:pPr>
      <w:r>
        <w:drawing>
          <wp:inline xmlns:a="http://schemas.openxmlformats.org/drawingml/2006/main" xmlns:pic="http://schemas.openxmlformats.org/drawingml/2006/picture">
            <wp:extent cx="5486400" cy="3620779"/>
            <wp:docPr id="5" name="Picture 5"/>
            <wp:cNvGraphicFramePr>
              <a:graphicFrameLocks noChangeAspect="1"/>
            </wp:cNvGraphicFramePr>
            <a:graphic>
              <a:graphicData uri="http://schemas.openxmlformats.org/drawingml/2006/picture">
                <pic:pic>
                  <pic:nvPicPr>
                    <pic:cNvPr id="0" name="forest_N.png"/>
                    <pic:cNvPicPr/>
                  </pic:nvPicPr>
                  <pic:blipFill>
                    <a:blip r:embed="rId14"/>
                    <a:stretch>
                      <a:fillRect/>
                    </a:stretch>
                  </pic:blipFill>
                  <pic:spPr>
                    <a:xfrm>
                      <a:off x="0" y="0"/>
                      <a:ext cx="5486400" cy="3620779"/>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Neuroticism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6</w:t>
      </w:r>
    </w:p>
    <w:p>
      <w:pPr>
        <w:spacing w:line="480" w:lineRule="auto" w:before="0" w:after="0"/>
      </w:pPr>
      <w:r>
        <w:rPr>
          <w:rFonts w:ascii="Times New Roman" w:hAnsi="Times New Roman"/>
          <w:i/>
          <w:sz w:val="24"/>
        </w:rPr>
        <w:t>Forest Plot: Extraversion and Academic Achievement in Online Learning Environments</w:t>
      </w:r>
    </w:p>
    <w:p>
      <w:pPr>
        <w:jc w:val="center"/>
      </w:pPr>
      <w:r>
        <w:drawing>
          <wp:inline xmlns:a="http://schemas.openxmlformats.org/drawingml/2006/main" xmlns:pic="http://schemas.openxmlformats.org/drawingml/2006/picture">
            <wp:extent cx="5486400" cy="3403941"/>
            <wp:docPr id="6" name="Picture 6"/>
            <wp:cNvGraphicFramePr>
              <a:graphicFrameLocks noChangeAspect="1"/>
            </wp:cNvGraphicFramePr>
            <a:graphic>
              <a:graphicData uri="http://schemas.openxmlformats.org/drawingml/2006/picture">
                <pic:pic>
                  <pic:nvPicPr>
                    <pic:cNvPr id="0" name="forest_E.png"/>
                    <pic:cNvPicPr/>
                  </pic:nvPicPr>
                  <pic:blipFill>
                    <a:blip r:embed="rId15"/>
                    <a:stretch>
                      <a:fillRect/>
                    </a:stretch>
                  </pic:blipFill>
                  <pic:spPr>
                    <a:xfrm>
                      <a:off x="0" y="0"/>
                      <a:ext cx="5486400" cy="3403941"/>
                    </a:xfrm>
                    <a:prstGeom prst="rect"/>
                  </pic:spPr>
                </pic:pic>
              </a:graphicData>
            </a:graphic>
          </wp:inline>
        </w:drawing>
      </w:r>
    </w:p>
    <w:p>
      <w:pPr>
        <w:spacing w:line="480" w:lineRule="auto" w:before="0" w:after="0"/>
      </w:pPr>
      <w:r>
        <w:rPr>
          <w:rFonts w:ascii="Times New Roman" w:hAnsi="Times New Roman"/>
          <w:i/>
          <w:sz w:val="22"/>
        </w:rPr>
        <w:t xml:space="preserve">Note. </w:t>
      </w:r>
      <w:r>
        <w:rPr>
          <w:rFonts w:ascii="Times New Roman" w:hAnsi="Times New Roman"/>
          <w:sz w:val="22"/>
        </w:rPr>
        <w:t>Forest plot of study-level Pearson correlations between Extraversion and academic achievement in online learning environments. Each square represents a study; square size is proportional to the inverse-variance weight. Horizontal bars show 95% confidence intervals. The red diamond represents the random-effects REML pooled estimate with HKSJ 95% confidence interval. Studies are sorted by effect size (descending). See Table 2 for pooled statistics.</w:t>
      </w:r>
    </w:p>
    <w:p>
      <w:r>
        <w:br w:type="page"/>
      </w:r>
    </w:p>
    <w:p>
      <w:pPr>
        <w:spacing w:line="480" w:lineRule="auto" w:before="0" w:after="0"/>
      </w:pPr>
      <w:r>
        <w:rPr>
          <w:rFonts w:ascii="Times New Roman" w:hAnsi="Times New Roman"/>
          <w:b/>
          <w:sz w:val="24"/>
        </w:rPr>
        <w:t>Figure 7</w:t>
      </w:r>
    </w:p>
    <w:p>
      <w:pPr>
        <w:spacing w:line="480" w:lineRule="auto" w:before="0" w:after="0"/>
      </w:pPr>
      <w:r>
        <w:rPr>
          <w:rFonts w:ascii="Times New Roman" w:hAnsi="Times New Roman"/>
          <w:i/>
          <w:sz w:val="24"/>
        </w:rPr>
        <w:t>Funnel Plot: Conscientiousness and Academic Achievement in Online Learning Environments</w:t>
      </w:r>
    </w:p>
    <w:p>
      <w:pPr>
        <w:jc w:val="center"/>
      </w:pPr>
      <w:r>
        <w:drawing>
          <wp:inline xmlns:a="http://schemas.openxmlformats.org/drawingml/2006/main" xmlns:pic="http://schemas.openxmlformats.org/drawingml/2006/picture">
            <wp:extent cx="4572000" cy="3909391"/>
            <wp:docPr id="7" name="Picture 7"/>
            <wp:cNvGraphicFramePr>
              <a:graphicFrameLocks noChangeAspect="1"/>
            </wp:cNvGraphicFramePr>
            <a:graphic>
              <a:graphicData uri="http://schemas.openxmlformats.org/drawingml/2006/picture">
                <pic:pic>
                  <pic:nvPicPr>
                    <pic:cNvPr id="0" name="funnel_C.png"/>
                    <pic:cNvPicPr/>
                  </pic:nvPicPr>
                  <pic:blipFill>
                    <a:blip r:embed="rId16"/>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Conscientiousness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2.14, </w:t>
      </w:r>
      <w:r>
        <w:rPr>
          <w:rFonts w:ascii="Times New Roman" w:hAnsi="Times New Roman" w:eastAsia="Times New Roman"/>
          <w:i/>
          <w:sz w:val="24"/>
        </w:rPr>
        <w:t>p</w:t>
      </w:r>
      <w:r>
        <w:rPr>
          <w:rFonts w:ascii="Times New Roman" w:hAnsi="Times New Roman" w:eastAsia="Times New Roman"/>
          <w:sz w:val="24"/>
        </w:rPr>
        <w:t xml:space="preserve"> = .094. See Table 4 for full publication-bias assessment.</w:t>
      </w:r>
    </w:p>
    <w:p>
      <w:r>
        <w:br w:type="page"/>
      </w:r>
    </w:p>
    <w:p>
      <w:pPr>
        <w:spacing w:line="480" w:lineRule="auto" w:before="0" w:after="0"/>
      </w:pPr>
      <w:r>
        <w:rPr>
          <w:rFonts w:ascii="Times New Roman" w:hAnsi="Times New Roman"/>
          <w:b/>
          <w:sz w:val="24"/>
        </w:rPr>
        <w:t>Figure 8</w:t>
      </w:r>
    </w:p>
    <w:p>
      <w:pPr>
        <w:spacing w:line="480" w:lineRule="auto" w:before="0" w:after="0"/>
      </w:pPr>
      <w:r>
        <w:rPr>
          <w:rFonts w:ascii="Times New Roman" w:hAnsi="Times New Roman"/>
          <w:i/>
          <w:sz w:val="24"/>
        </w:rPr>
        <w:t>Funnel Plot: Agreeableness and Academic Achievement in Online Learning Environments</w:t>
      </w:r>
    </w:p>
    <w:p>
      <w:pPr>
        <w:jc w:val="center"/>
      </w:pPr>
      <w:r>
        <w:drawing>
          <wp:inline xmlns:a="http://schemas.openxmlformats.org/drawingml/2006/main" xmlns:pic="http://schemas.openxmlformats.org/drawingml/2006/picture">
            <wp:extent cx="4572000" cy="3909391"/>
            <wp:docPr id="8" name="Picture 8"/>
            <wp:cNvGraphicFramePr>
              <a:graphicFrameLocks noChangeAspect="1"/>
            </wp:cNvGraphicFramePr>
            <a:graphic>
              <a:graphicData uri="http://schemas.openxmlformats.org/drawingml/2006/picture">
                <pic:pic>
                  <pic:nvPicPr>
                    <pic:cNvPr id="0" name="funnel_A.png"/>
                    <pic:cNvPicPr/>
                  </pic:nvPicPr>
                  <pic:blipFill>
                    <a:blip r:embed="rId17"/>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Agreeableness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−8.53, </w:t>
      </w:r>
      <w:r>
        <w:rPr>
          <w:rFonts w:ascii="Times New Roman" w:hAnsi="Times New Roman" w:eastAsia="Times New Roman"/>
          <w:i/>
          <w:sz w:val="24"/>
        </w:rPr>
        <w:t>p</w:t>
      </w:r>
      <w:r>
        <w:rPr>
          <w:rFonts w:ascii="Times New Roman" w:hAnsi="Times New Roman" w:eastAsia="Times New Roman"/>
          <w:sz w:val="24"/>
        </w:rPr>
        <w:t xml:space="preserve"> = .072. See Table 4 for full publication-bias assessment.</w:t>
      </w:r>
    </w:p>
    <w:p>
      <w:r>
        <w:br w:type="page"/>
      </w:r>
    </w:p>
    <w:p>
      <w:pPr>
        <w:spacing w:line="480" w:lineRule="auto" w:before="0" w:after="0"/>
      </w:pPr>
      <w:r>
        <w:rPr>
          <w:rFonts w:ascii="Times New Roman" w:hAnsi="Times New Roman"/>
          <w:b/>
          <w:sz w:val="24"/>
        </w:rPr>
        <w:t>Figure 9</w:t>
      </w:r>
    </w:p>
    <w:p>
      <w:pPr>
        <w:spacing w:line="480" w:lineRule="auto" w:before="0" w:after="0"/>
      </w:pPr>
      <w:r>
        <w:rPr>
          <w:rFonts w:ascii="Times New Roman" w:hAnsi="Times New Roman"/>
          <w:i/>
          <w:sz w:val="24"/>
        </w:rPr>
        <w:t>Funnel Plot: Openness and Academic Achievement in Online Learning Environments</w:t>
      </w:r>
    </w:p>
    <w:p>
      <w:pPr>
        <w:jc w:val="center"/>
      </w:pPr>
      <w:r>
        <w:drawing>
          <wp:inline xmlns:a="http://schemas.openxmlformats.org/drawingml/2006/main" xmlns:pic="http://schemas.openxmlformats.org/drawingml/2006/picture">
            <wp:extent cx="4572000" cy="3909391"/>
            <wp:docPr id="9" name="Picture 9"/>
            <wp:cNvGraphicFramePr>
              <a:graphicFrameLocks noChangeAspect="1"/>
            </wp:cNvGraphicFramePr>
            <a:graphic>
              <a:graphicData uri="http://schemas.openxmlformats.org/drawingml/2006/picture">
                <pic:pic>
                  <pic:nvPicPr>
                    <pic:cNvPr id="0" name="funnel_O.png"/>
                    <pic:cNvPicPr/>
                  </pic:nvPicPr>
                  <pic:blipFill>
                    <a:blip r:embed="rId18"/>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Openness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−6.41, </w:t>
      </w:r>
      <w:r>
        <w:rPr>
          <w:rFonts w:ascii="Times New Roman" w:hAnsi="Times New Roman" w:eastAsia="Times New Roman"/>
          <w:i/>
          <w:sz w:val="24"/>
        </w:rPr>
        <w:t>p</w:t>
      </w:r>
      <w:r>
        <w:rPr>
          <w:rFonts w:ascii="Times New Roman" w:hAnsi="Times New Roman" w:eastAsia="Times New Roman"/>
          <w:sz w:val="24"/>
        </w:rPr>
        <w:t xml:space="preserve"> = .045. See Table 4 for full publication-bias assessment.</w:t>
      </w:r>
    </w:p>
    <w:p>
      <w:r>
        <w:br w:type="page"/>
      </w:r>
    </w:p>
    <w:p>
      <w:pPr>
        <w:spacing w:line="480" w:lineRule="auto" w:before="0" w:after="0"/>
      </w:pPr>
      <w:r>
        <w:rPr>
          <w:rFonts w:ascii="Times New Roman" w:hAnsi="Times New Roman"/>
          <w:b/>
          <w:sz w:val="24"/>
        </w:rPr>
        <w:t>Figure 10</w:t>
      </w:r>
    </w:p>
    <w:p>
      <w:pPr>
        <w:spacing w:line="480" w:lineRule="auto" w:before="0" w:after="0"/>
      </w:pPr>
      <w:r>
        <w:rPr>
          <w:rFonts w:ascii="Times New Roman" w:hAnsi="Times New Roman"/>
          <w:i/>
          <w:sz w:val="24"/>
        </w:rPr>
        <w:t>Funnel Plot: Neuroticism and Academic Achievement in Online Learning Environments</w:t>
      </w:r>
    </w:p>
    <w:p>
      <w:pPr>
        <w:jc w:val="center"/>
      </w:pPr>
      <w:r>
        <w:drawing>
          <wp:inline xmlns:a="http://schemas.openxmlformats.org/drawingml/2006/main" xmlns:pic="http://schemas.openxmlformats.org/drawingml/2006/picture">
            <wp:extent cx="4572000" cy="3909391"/>
            <wp:docPr id="10" name="Picture 10"/>
            <wp:cNvGraphicFramePr>
              <a:graphicFrameLocks noChangeAspect="1"/>
            </wp:cNvGraphicFramePr>
            <a:graphic>
              <a:graphicData uri="http://schemas.openxmlformats.org/drawingml/2006/picture">
                <pic:pic>
                  <pic:nvPicPr>
                    <pic:cNvPr id="0" name="funnel_N.png"/>
                    <pic:cNvPicPr/>
                  </pic:nvPicPr>
                  <pic:blipFill>
                    <a:blip r:embed="rId19"/>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Neuroticism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−1.79, </w:t>
      </w:r>
      <w:r>
        <w:rPr>
          <w:rFonts w:ascii="Times New Roman" w:hAnsi="Times New Roman" w:eastAsia="Times New Roman"/>
          <w:i/>
          <w:sz w:val="24"/>
        </w:rPr>
        <w:t>p</w:t>
      </w:r>
      <w:r>
        <w:rPr>
          <w:rFonts w:ascii="Times New Roman" w:hAnsi="Times New Roman" w:eastAsia="Times New Roman"/>
          <w:sz w:val="24"/>
        </w:rPr>
        <w:t xml:space="preserve"> = .304. See Table 4 for full publication-bias assessment.</w:t>
      </w:r>
    </w:p>
    <w:p>
      <w:r>
        <w:br w:type="page"/>
      </w:r>
    </w:p>
    <w:p>
      <w:pPr>
        <w:spacing w:line="480" w:lineRule="auto" w:before="0" w:after="0"/>
      </w:pPr>
      <w:r>
        <w:rPr>
          <w:rFonts w:ascii="Times New Roman" w:hAnsi="Times New Roman"/>
          <w:b/>
          <w:sz w:val="24"/>
        </w:rPr>
        <w:t>Figure 11</w:t>
      </w:r>
    </w:p>
    <w:p>
      <w:pPr>
        <w:spacing w:line="480" w:lineRule="auto" w:before="0" w:after="0"/>
      </w:pPr>
      <w:r>
        <w:rPr>
          <w:rFonts w:ascii="Times New Roman" w:hAnsi="Times New Roman"/>
          <w:i/>
          <w:sz w:val="24"/>
        </w:rPr>
        <w:t>Funnel Plot: Extraversion and Academic Achievement in Online Learning Environments</w:t>
      </w:r>
    </w:p>
    <w:p>
      <w:pPr>
        <w:jc w:val="center"/>
      </w:pPr>
      <w:r>
        <w:drawing>
          <wp:inline xmlns:a="http://schemas.openxmlformats.org/drawingml/2006/main" xmlns:pic="http://schemas.openxmlformats.org/drawingml/2006/picture">
            <wp:extent cx="4572000" cy="3909391"/>
            <wp:docPr id="11" name="Picture 11"/>
            <wp:cNvGraphicFramePr>
              <a:graphicFrameLocks noChangeAspect="1"/>
            </wp:cNvGraphicFramePr>
            <a:graphic>
              <a:graphicData uri="http://schemas.openxmlformats.org/drawingml/2006/picture">
                <pic:pic>
                  <pic:nvPicPr>
                    <pic:cNvPr id="0" name="funnel_E.png"/>
                    <pic:cNvPicPr/>
                  </pic:nvPicPr>
                  <pic:blipFill>
                    <a:blip r:embed="rId20"/>
                    <a:stretch>
                      <a:fillRect/>
                    </a:stretch>
                  </pic:blipFill>
                  <pic:spPr>
                    <a:xfrm>
                      <a:off x="0" y="0"/>
                      <a:ext cx="4572000" cy="3909391"/>
                    </a:xfrm>
                    <a:prstGeom prst="rect"/>
                  </pic:spPr>
                </pic:pic>
              </a:graphicData>
            </a:graphic>
          </wp:inline>
        </w:drawing>
      </w:r>
    </w:p>
    <w:p>
      <w:pPr>
        <w:spacing w:line="480" w:lineRule="auto" w:before="0" w:after="0"/>
      </w:pPr>
      <w:r>
        <w:rPr>
          <w:rFonts w:ascii="Times New Roman" w:hAnsi="Times New Roman" w:eastAsia="Times New Roman"/>
          <w:sz w:val="24"/>
        </w:rPr>
        <w:t xml:space="preserve">Note. Funnel plot of Pearson correlations between Extraversion and academic achievement in online learning environments. Points represent individual studies. The vertical dashed red line indicates the random-effects pooled correlation. Diagonal dashed lines represent pseudo-95% confidence bounds under the assumption of no heterogeneity. Asymmetric dispersion may suggest small-study effects or publication bias. Egger's test results: intercept = 2.29, </w:t>
      </w:r>
      <w:r>
        <w:rPr>
          <w:rFonts w:ascii="Times New Roman" w:hAnsi="Times New Roman" w:eastAsia="Times New Roman"/>
          <w:i/>
          <w:sz w:val="24"/>
        </w:rPr>
        <w:t>p</w:t>
      </w:r>
      <w:r>
        <w:rPr>
          <w:rFonts w:ascii="Times New Roman" w:hAnsi="Times New Roman" w:eastAsia="Times New Roman"/>
          <w:sz w:val="24"/>
        </w:rPr>
        <w:t xml:space="preserve"> = .255. See Table 4 for full publication-bias assessment.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rFonts w:ascii="Times New Roman" w:hAnsi="Times New Roman" w:eastAsia="Times New Roman"/>
        <w:sz w:val="24"/>
      </w:rPr>
      <w:t>BIG FIVE AND ONLINE LEARNING</w:t>
      <w:tab/>
      <w:tab/>
    </w: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