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31 primary studies catalogued in Table 1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larger studies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smallest studies in the corpus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catalogued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(2 studies: A-25, A-26; A-10 was identified as a K-12 record but excluded as face-to-face),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catalogued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