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ver-letter-iceel-2026-paper-submission"/>
    <w:p>
      <w:pPr>
        <w:pStyle w:val="Heading1"/>
      </w:pPr>
      <w:r>
        <w:t xml:space="preserve">Cover Letter — ICEEL 2026 Paper Submission</w:t>
      </w:r>
    </w:p>
    <w:p>
      <w:pPr>
        <w:pStyle w:val="FirstParagraph"/>
      </w:pPr>
      <w:r>
        <w:rPr>
          <w:bCs/>
          <w:b/>
        </w:rPr>
        <w:t xml:space="preserve">To</w:t>
      </w:r>
      <w:r>
        <w:t xml:space="preserve">: Conference Chairs, ICEEL 2026</w:t>
      </w:r>
      <w:r>
        <w:t xml:space="preserve"> </w:t>
      </w:r>
      <w:r>
        <w:rPr>
          <w:bCs/>
          <w:b/>
        </w:rPr>
        <w:t xml:space="preserve">Submission system</w:t>
      </w:r>
      <w:r>
        <w:t xml:space="preserve">: https://www.zmeeting.org/submission/ICEEL2026</w:t>
      </w:r>
      <w:r>
        <w:t xml:space="preserve"> </w:t>
      </w:r>
      <w:r>
        <w:rPr>
          <w:bCs/>
          <w:b/>
        </w:rPr>
        <w:t xml:space="preserve">Contact</w:t>
      </w:r>
      <w:r>
        <w:t xml:space="preserve">: iceel@academic.net</w:t>
      </w:r>
      <w:r>
        <w:t xml:space="preserve"> </w:t>
      </w:r>
      <w:r>
        <w:rPr>
          <w:bCs/>
          <w:b/>
        </w:rPr>
        <w:t xml:space="preserve">Conference</w:t>
      </w:r>
      <w:r>
        <w:t xml:space="preserve">: 10th International Conference on Education and E-Learning, Tokyo, Japan, 27–29 November 2026</w:t>
      </w:r>
      <w:r>
        <w:t xml:space="preserve"> </w:t>
      </w:r>
      <w:r>
        <w:rPr>
          <w:bCs/>
          <w:b/>
        </w:rPr>
        <w:t xml:space="preserve">From</w:t>
      </w:r>
      <w:r>
        <w:t xml:space="preserve">: Eisuke Tokiwa, SUNBLAZE Co., Ltd., Tokyo, Japan (ORCID 0009-0009-7124-6669)</w:t>
      </w:r>
      <w:r>
        <w:t xml:space="preserve"> </w:t>
      </w:r>
      <w:r>
        <w:rPr>
          <w:bCs/>
          <w:b/>
        </w:rPr>
        <w:t xml:space="preserve">Date</w:t>
      </w:r>
      <w:r>
        <w:t xml:space="preserve">: 2026-06-30 (paper submission deadline)</w:t>
      </w:r>
      <w:r>
        <w:t xml:space="preserve"> </w:t>
      </w:r>
      <w:r>
        <w:rPr>
          <w:bCs/>
          <w:b/>
        </w:rPr>
        <w:t xml:space="preserve">Subject</w:t>
      </w:r>
      <w:r>
        <w:t xml:space="preserve">: ICEEL 2026 paper submission —</w:t>
      </w:r>
      <w:r>
        <w:t xml:space="preserve"> </w:t>
      </w:r>
      <w:r>
        <w:rPr>
          <w:iCs/>
          <w:i/>
        </w:rPr>
        <w:t xml:space="preserve">Cultural dimensions in online learning: A Hofstede-moderated within-Asia synthesis of the Big Five and academic achievement, with a focused look at the Japanese context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ICEEL 2026 Programme Committee,</w:t>
      </w:r>
    </w:p>
    <w:p>
      <w:pPr>
        <w:pStyle w:val="BodyText"/>
      </w:pPr>
      <w:r>
        <w:t xml:space="preserve">I am pleased to submit the enclosed paper,</w:t>
      </w:r>
      <w:r>
        <w:t xml:space="preserve"> </w:t>
      </w:r>
      <w:r>
        <w:rPr>
          <w:iCs/>
          <w:i/>
        </w:rPr>
        <w:t xml:space="preserve">Cultural dimensions in online learning: A Hofstede-moderated within-Asia synthesis of the Big Five and academic achievement, with a focused look at the Japanese context</w:t>
      </w:r>
      <w:r>
        <w:t xml:space="preserve">, to the 10th International Conference on Education and E-Learning, Tokyo, 27–29 November 2026.</w:t>
      </w:r>
    </w:p>
    <w:bookmarkStart w:id="20" w:name="manuscript-summary"/>
    <w:p>
      <w:pPr>
        <w:pStyle w:val="Heading2"/>
      </w:pPr>
      <w:r>
        <w:t xml:space="preserve">Manuscript summary</w:t>
      </w:r>
    </w:p>
    <w:p>
      <w:pPr>
        <w:pStyle w:val="FirstParagraph"/>
      </w:pPr>
      <w:r>
        <w:t xml:space="preserve">The parent meta-analysis (Research Square preprint, DOI 10.21203/rs.3.rs-9513298/v1) reports a binary Region moderator (Asia vs non-Asia) and finds Extraversion × Region highly significant (Q_between = 46.43, p &lt; .001), with Asian samples r = −0.131 vs non-Asian r = +0.050. The within-Asia heterogeneity that produces this contrast is</w:t>
      </w:r>
      <w:r>
        <w:t xml:space="preserve"> </w:t>
      </w:r>
      <w:r>
        <w:rPr>
          <w:bCs/>
          <w:b/>
        </w:rPr>
        <w:t xml:space="preserve">not decomposed</w:t>
      </w:r>
      <w:r>
        <w:t xml:space="preserve"> </w:t>
      </w:r>
      <w:r>
        <w:t xml:space="preserve">in the parent preprint.</w:t>
      </w:r>
    </w:p>
    <w:p>
      <w:pPr>
        <w:pStyle w:val="BodyText"/>
      </w:pPr>
      <w:r>
        <w:t xml:space="preserve">The present ICEEL paper attaches</w:t>
      </w:r>
      <w:r>
        <w:t xml:space="preserve"> </w:t>
      </w:r>
      <w:r>
        <w:rPr>
          <w:bCs/>
          <w:b/>
        </w:rPr>
        <w:t xml:space="preserve">Hofstede 6-D country-level cultural-dimensions scores</w:t>
      </w:r>
      <w:r>
        <w:t xml:space="preserve"> </w:t>
      </w:r>
      <w:r>
        <w:t xml:space="preserve">(Power Distance, Individualism, Masculinity, Uncertainty Avoidance, Long-Term Orientation, Indulgence; values from Hofstede Insights 2024) to each Asian primary-pool study and meta-regresses the Big Five – achievement correlations on each dimension within the Asian subset. With k = 2 Asian primary-pool studies contributing extractable r per trait (A-28 Yu, China; A-31 Rivers, Japan), the meta-regression has zero residual degrees of freedom; slopes are therefore reported as</w:t>
      </w:r>
      <w:r>
        <w:t xml:space="preserve"> </w:t>
      </w:r>
      <w:r>
        <w:rPr>
          <w:bCs/>
          <w:b/>
        </w:rPr>
        <w:t xml:space="preserve">descriptive direction-finders only</w:t>
      </w:r>
      <w:r>
        <w:t xml:space="preserve">, not as confirmatory tests. The paper is transparent about this k-limitation throughout.</w:t>
      </w:r>
    </w:p>
    <w:p>
      <w:pPr>
        <w:pStyle w:val="BodyText"/>
      </w:pPr>
      <w:r>
        <w:t xml:space="preserve">The paper concludes with a</w:t>
      </w:r>
      <w:r>
        <w:t xml:space="preserve"> </w:t>
      </w:r>
      <w:r>
        <w:rPr>
          <w:bCs/>
          <w:b/>
        </w:rPr>
        <w:t xml:space="preserve">focused narrative synthesis of the two Japan-based primary-pool studies</w:t>
      </w:r>
      <w:r>
        <w:t xml:space="preserve">: A-25 Tokiwa (2025), a Japanese high-school StudySapuri cohort using BFI-2-J (60 items), and A-31 Rivers (2021), a Japanese undergraduate Moodle cohort using TIPI-J (10 items). The Japan focus surfaces an instrument-heterogeneity confound (BFI-2-J vs TIPI-J) that future Japan-specific syntheses cannot ignore, and informs three concrete recommendations for the Japanese ed-tech research community.</w:t>
      </w:r>
    </w:p>
    <w:bookmarkEnd w:id="20"/>
    <w:bookmarkStart w:id="21" w:name="fit-with-iceel-scope-and-tokyo-location"/>
    <w:p>
      <w:pPr>
        <w:pStyle w:val="Heading2"/>
      </w:pPr>
      <w:r>
        <w:t xml:space="preserve">Fit with ICEEL scope and Tokyo location</w:t>
      </w:r>
    </w:p>
    <w:p>
      <w:pPr>
        <w:pStyle w:val="FirstParagraph"/>
      </w:pPr>
      <w:r>
        <w:t xml:space="preserve">The ICEEL 2026 theme —</w:t>
      </w:r>
      <w:r>
        <w:t xml:space="preserve"> </w:t>
      </w:r>
      <w:r>
        <w:rPr>
          <w:iCs/>
          <w:i/>
        </w:rPr>
        <w:t xml:space="preserve">Future-Ready Learners: Reimagining Education and E-Learning for a Dynamic World</w:t>
      </w:r>
      <w:r>
        <w:t xml:space="preserve"> </w:t>
      </w:r>
      <w:r>
        <w:t xml:space="preserve">— is well served by a paper that engages explicitly with</w:t>
      </w:r>
      <w:r>
        <w:t xml:space="preserve"> </w:t>
      </w:r>
      <w:r>
        <w:rPr>
          <w:bCs/>
          <w:b/>
        </w:rPr>
        <w:t xml:space="preserve">cultural-context heterogeneity</w:t>
      </w:r>
      <w:r>
        <w:t xml:space="preserve"> </w:t>
      </w:r>
      <w:r>
        <w:t xml:space="preserve">in online-learning evidence and that includes a</w:t>
      </w:r>
      <w:r>
        <w:t xml:space="preserve"> </w:t>
      </w:r>
      <w:r>
        <w:rPr>
          <w:bCs/>
          <w:b/>
        </w:rPr>
        <w:t xml:space="preserve">Japan-specific synthesis</w:t>
      </w:r>
      <w:r>
        <w:t xml:space="preserve"> </w:t>
      </w:r>
      <w:r>
        <w:t xml:space="preserve">for the host country’s ed-tech research community. The author is based in Tokyo and will attend in person (no travel-cost barrier).</w:t>
      </w:r>
    </w:p>
    <w:bookmarkEnd w:id="21"/>
    <w:bookmarkStart w:id="22" w:name="disclosure-of-related-preprint"/>
    <w:p>
      <w:pPr>
        <w:pStyle w:val="Heading2"/>
      </w:pPr>
      <w:r>
        <w:t xml:space="preserve">Disclosure of related preprint</w:t>
      </w:r>
    </w:p>
    <w:p>
      <w:pPr>
        <w:pStyle w:val="FirstParagraph"/>
      </w:pPr>
      <w:r>
        <w:t xml:space="preserve">The underlying systematic review and meta-analysis is publicly available on Research Square (DOI 10.21203/rs.3.rs-9513298/v1, posted 27 April 2026, CC BY 4.0). The present ICEEL paper extends that work with</w:t>
      </w:r>
      <w:r>
        <w:t xml:space="preserve"> </w:t>
      </w:r>
      <w:r>
        <w:rPr>
          <w:bCs/>
          <w:b/>
        </w:rPr>
        <w:t xml:space="preserve">(i) Hofstede 6-D cultural-dimensions moderator analyses on the East-Asian subset and (ii) a focused narrative synthesis of the Japanese online-learning context</w:t>
      </w:r>
      <w:r>
        <w:t xml:space="preserve">. Neither of these analyses is reported in the preprint. Should ICEEL’s policy require migration to a different preprint server, the author is prepared to coordinate accordingly.</w:t>
      </w:r>
    </w:p>
    <w:bookmarkEnd w:id="22"/>
    <w:bookmarkStart w:id="23" w:name="statements"/>
    <w:p>
      <w:pPr>
        <w:pStyle w:val="Heading2"/>
      </w:pPr>
      <w:r>
        <w:t xml:space="preserve">Statements</w:t>
      </w:r>
    </w:p>
    <w:p>
      <w:pPr>
        <w:numPr>
          <w:ilvl w:val="0"/>
          <w:numId w:val="1001"/>
        </w:numPr>
        <w:pStyle w:val="Compact"/>
      </w:pPr>
      <w:r>
        <w:t xml:space="preserve">This is single-authored work. There are no co-authors.</w:t>
      </w:r>
    </w:p>
    <w:p>
      <w:pPr>
        <w:numPr>
          <w:ilvl w:val="0"/>
          <w:numId w:val="1001"/>
        </w:numPr>
        <w:pStyle w:val="Compact"/>
      </w:pPr>
      <w:r>
        <w:t xml:space="preserve">The manuscript has not been published in any peer-reviewed venue and is not under consideration elsewhere.</w:t>
      </w:r>
    </w:p>
    <w:p>
      <w:pPr>
        <w:numPr>
          <w:ilvl w:val="0"/>
          <w:numId w:val="1001"/>
        </w:numPr>
        <w:pStyle w:val="Compact"/>
      </w:pPr>
      <w:r>
        <w:t xml:space="preserve">The author declares one disclosed conflict of interest: A-25 Tokiwa (2025),</w:t>
      </w:r>
      <w:r>
        <w:t xml:space="preserve"> </w:t>
      </w:r>
      <w:r>
        <w:rPr>
          <w:iCs/>
          <w:i/>
        </w:rPr>
        <w:t xml:space="preserve">Who excels in online learning in Japan?</w:t>
      </w:r>
      <w:r>
        <w:t xml:space="preserve"> </w:t>
      </w:r>
      <w:r>
        <w:t xml:space="preserve">(</w:t>
      </w:r>
      <w:r>
        <w:rPr>
          <w:iCs/>
          <w:i/>
        </w:rPr>
        <w:t xml:space="preserve">Frontiers in Psychology, 16</w:t>
      </w:r>
      <w:r>
        <w:t xml:space="preserve">, 1420996, CC BY; https://doi.org/10.3389/fpsyg.2025.1420996), is the author’s own previously published Japanese high-school primary study using the Study Sapuri LMS and the BFI-2-J instrument. It is included in the qualitative Japan synthesis (§4.3) but contributes no extractable r values to the within-Asia pooled estimates. The Frontiers article is open-access and independently verifiable by reviewers.</w:t>
      </w:r>
    </w:p>
    <w:p>
      <w:pPr>
        <w:numPr>
          <w:ilvl w:val="0"/>
          <w:numId w:val="1001"/>
        </w:numPr>
        <w:pStyle w:val="Compact"/>
      </w:pPr>
      <w:r>
        <w:t xml:space="preserve">The author reports no competing financial interests and received no external funding for this work.</w:t>
      </w:r>
    </w:p>
    <w:p>
      <w:pPr>
        <w:pStyle w:val="FirstParagraph"/>
      </w:pPr>
      <w:r>
        <w:t xml:space="preserve">Sincerely,</w:t>
      </w:r>
    </w:p>
    <w:p>
      <w:pPr>
        <w:pStyle w:val="BodyText"/>
      </w:pPr>
      <w:r>
        <w:rPr>
          <w:bCs/>
          <w:b/>
        </w:rPr>
        <w:t xml:space="preserve">Eisuke Tokiwa</w:t>
      </w:r>
      <w:r>
        <w:t xml:space="preserve"> </w:t>
      </w:r>
      <w:r>
        <w:t xml:space="preserve">SUNBLAZE Co., Ltd.</w:t>
      </w:r>
      <w:r>
        <w:t xml:space="preserve"> </w:t>
      </w:r>
      <w:r>
        <w:t xml:space="preserve">Tokyo, Japan</w:t>
      </w:r>
      <w:r>
        <w:t xml:space="preserve"> </w:t>
      </w:r>
      <w:r>
        <w:t xml:space="preserve">ORCID 0009-0009-7124-6669</w:t>
      </w:r>
      <w:r>
        <w:t xml:space="preserve"> </w:t>
      </w:r>
      <w:r>
        <w:t xml:space="preserve">sub.ashuman@gmail.com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2026-05-10T03:59:38Z</dcterms:created>
  <dcterms:modified xsi:type="dcterms:W3CDTF">2026-05-10T03:59:38Z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