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HEXACO 7-Typology Evidence That Structure Dominates Personality in Japanese Workplaces,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2026-04-30 alongside the v2.0 registration) and disclosed in the Methods (Pre-registered analytic pipeline) section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Author, funding, and competing-interests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discloses the following potential competing interest: the author is the representative of SUNBLAZE Co., Ltd. (Tokyo, Japan), which provides HEXACO-JP, a proprietary Japanese-language HEXACO-based personality assessment service. The present study does not use HEXACO-JP; it uses the HEXACO-PI-R Japanese 60-item adaptation published by Wakabayashi (2014) as a separately validated, openly cited instrument. The manuscript does not reference, evaluate, market, recommend, or otherwise promote HEXACO-JP or any other SUNBLAZE product or service. The research received no SUNBLAZE funding, no external grant funding, and was conducted as an independent academic project. The headline empirical findings (null personality-intervention contrast,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 in any peer-reviewed venue and is not under consideration at any other journal. A non-peer-reviewed version has been posted as a preprint at SocArXiv (DOI 10.31235/osf.io/p2d8w_v1) per the journal's preprint policy. The submission is sole-authored.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