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sz w:val="24"/>
        </w:rPr>
        <w:t>[Date]</w:t>
      </w:r>
    </w:p>
    <w:p>
      <w:pPr>
        <w:spacing w:line="276" w:lineRule="auto" w:after="120"/>
      </w:pPr>
      <w:r>
        <w:rPr>
          <w:rFonts w:ascii="Times New Roman" w:hAnsi="Times New Roman" w:eastAsia="Times New Roman"/>
          <w:sz w:val="24"/>
        </w:rPr>
        <w:t>The Editors</w:t>
      </w:r>
    </w:p>
    <w:p>
      <w:pPr>
        <w:spacing w:line="276" w:lineRule="auto" w:after="120"/>
      </w:pPr>
      <w:r>
        <w:rPr>
          <w:rFonts w:ascii="Times New Roman" w:hAnsi="Times New Roman" w:eastAsia="Times New Roman"/>
          <w:sz w:val="24"/>
        </w:rPr>
        <w:t>Personality and Individual Differences (Elsevier)</w:t>
      </w:r>
    </w:p>
    <w:p>
      <w:pPr>
        <w:spacing w:line="276" w:lineRule="auto" w:after="120"/>
      </w:pPr>
      <w:r>
        <w:rPr>
          <w:rFonts w:ascii="Times New Roman" w:hAnsi="Times New Roman" w:eastAsia="Times New Roman"/>
          <w:sz w:val="24"/>
        </w:rPr>
        <w:t>Dear Editors,</w:t>
      </w:r>
    </w:p>
    <w:p>
      <w:pPr>
        <w:spacing w:line="276" w:lineRule="auto" w:after="120"/>
      </w:pPr>
      <w:r>
        <w:rPr>
          <w:rFonts w:ascii="Times New Roman" w:hAnsi="Times New Roman" w:eastAsia="Times New Roman"/>
          <w:sz w:val="24"/>
        </w:rPr>
        <w:t>I am pleased to submit the enclosed manuscript, Person-Level versus System-Level Anti-Harassment Interventions: HEXACO 7-Typology Evidence That Structure Dominates Personality in Japanese Workplaces, for consideration as a Stage 2 Registered Report at Personality and Individual Differences.</w:t>
      </w:r>
    </w:p>
    <w:p>
      <w:pPr>
        <w:spacing w:line="276" w:lineRule="auto" w:after="120"/>
      </w:pPr>
      <w:r>
        <w:rPr>
          <w:rFonts w:ascii="Times New Roman" w:hAnsi="Times New Roman" w:eastAsia="Times New Roman"/>
          <w:sz w:val="24"/>
        </w:rPr>
        <w:t>This submission implements, without deviation, the analysis pre-registered as v2.0 at the Open Science Framework (DOI 10.17605/OSF.IO/3Y54U; registered 2026-04-30). All seven primary hypotheses (H1–H7) are evaluated against pre-registered classification rules; all sensitivity sweeps and diagnostic procedures specified in the v2.0 master are executed and reported. The Methods Clarifications Log accompanying the v2.0 registration (Section 6.5 Level 1 deviation; SHA-256 fcaaf0d…) documents 16 minor specification clarifications resolved during the Stage 1 protocol-development phase.</w:t>
      </w:r>
    </w:p>
    <w:p>
      <w:pPr>
        <w:spacing w:line="276" w:lineRule="auto" w:after="120"/>
      </w:pPr>
      <w:r>
        <w:rPr>
          <w:rFonts w:ascii="Times New Roman" w:hAnsi="Times New Roman" w:eastAsia="Times New Roman"/>
          <w:b/>
          <w:sz w:val="24"/>
        </w:rPr>
        <w:t>Headline finding</w:t>
      </w:r>
    </w:p>
    <w:p>
      <w:pPr>
        <w:spacing w:line="276" w:lineRule="auto" w:after="120"/>
      </w:pPr>
      <w:r>
        <w:rPr>
          <w:rFonts w:ascii="Times New Roman" w:hAnsi="Times New Roman" w:eastAsia="Times New Roman"/>
          <w:sz w:val="24"/>
        </w:rPr>
        <w:t>Using N = 354 individual-level Japanese workplace harassment data, partitioned into 14 cells (7 HEXACO clusters × 2 genders) and re-weighted with Statistics Bureau (MIC) Labor Force Survey 2022 marginals, we tested three pre-registered counterfactual interventions: (A) personality intervention shifting Honesty-Humility, Agreeableness, and Emotionality by +0.3 SD; (B) targeted personality intervention applying +0.40 SD on Honesty-Humility to individuals already in the low-prevalence HEXACO Cluster {0, 4, 6} subgroup; and (C) structural intervention reducing cell-level propensity by 20%, calibrated against three meta-analyses and the MHLW FY2016–FY2023 natural experiment spanning the staged enforcement of the 2020 Power Harassment Prevention Law.</w:t>
      </w:r>
    </w:p>
    <w:p>
      <w:pPr>
        <w:spacing w:line="276" w:lineRule="auto" w:after="120"/>
      </w:pPr>
      <w:r>
        <w:rPr>
          <w:rFonts w:ascii="Times New Roman" w:hAnsi="Times New Roman" w:eastAsia="Times New Roman"/>
          <w:sz w:val="24"/>
        </w:rPr>
        <w:t>The pre-registered intersection-union test (Berger &amp; Hsu, 1996) classifies the configuration as REVERSAL: ΔP_A and ΔP_B are statistically null, whereas ΔP_C = +3.49 percentage points (95% CI [+2.64, +4.35] excluding zero). The classification is robust across all four pre-registered cultural attenuation factors (F = 0.3 to 1.0), including the conservative cross-cultural worst-case anchor. Numerically, the structural intervention's population-level effect is approximately 5.7× larger than the personality intervention's, given prior meta-analytic effect-size calibrations.</w:t>
      </w:r>
    </w:p>
    <w:p>
      <w:pPr>
        <w:spacing w:line="276" w:lineRule="auto" w:after="120"/>
      </w:pPr>
      <w:r>
        <w:rPr>
          <w:rFonts w:ascii="Times New Roman" w:hAnsi="Times New Roman" w:eastAsia="Times New Roman"/>
          <w:b/>
          <w:sz w:val="24"/>
        </w:rPr>
        <w:t>Why Personality and Individual Differences</w:t>
      </w:r>
    </w:p>
    <w:p>
      <w:pPr>
        <w:spacing w:line="276" w:lineRule="auto" w:after="120"/>
      </w:pPr>
      <w:r>
        <w:rPr>
          <w:rFonts w:ascii="Times New Roman" w:hAnsi="Times New Roman" w:eastAsia="Times New Roman"/>
          <w:sz w:val="24"/>
        </w:rPr>
        <w:t>This manuscript directly extends the HEXACO–workplace-bullying literature that PAID has been a major venue for, including the Nielsen et al. (2017) meta-analysis (PAID 104:195–206), Linton &amp; Power (2013) (PAID 54:738–743), Lee et al. (2013) (companion HEXACO + Dark Triad work in European Journal of Personality), and Pilch &amp; Turska (2015) (Machiavellianism × bullying). Our novel contribution is to convert these well-replicated personality–harassment associations into a counterfactual-microsimulation framework that quantifies, for the first time, the population-level prevalence consequence of realistic personality interventions versus structural ones — addressing the practical question of intervention prioritization that PAID's I/O readership routinely asks.</w:t>
      </w:r>
    </w:p>
    <w:p>
      <w:pPr>
        <w:spacing w:line="276" w:lineRule="auto" w:after="120"/>
      </w:pPr>
      <w:r>
        <w:rPr>
          <w:rFonts w:ascii="Times New Roman" w:hAnsi="Times New Roman" w:eastAsia="Times New Roman"/>
          <w:sz w:val="24"/>
        </w:rPr>
        <w:t>The "dominates" framing in the title is calibrated to the actual ratio (|ΔP_C| / |ΔP_A| ≈ 5.7) and is methodologically conservative: we explicitly reject the stronger claim that personality interventions "do not work" in favor of the empirical observation that structural interventions outperform them by ~5.7× under realistic effect-size assumptions.</w:t>
      </w:r>
    </w:p>
    <w:p>
      <w:pPr>
        <w:spacing w:line="276" w:lineRule="auto" w:after="120"/>
      </w:pPr>
      <w:r>
        <w:rPr>
          <w:rFonts w:ascii="Times New Roman" w:hAnsi="Times New Roman" w:eastAsia="Times New Roman"/>
          <w:b/>
          <w:sz w:val="24"/>
        </w:rPr>
        <w:t>Substantive contribution</w:t>
      </w:r>
    </w:p>
    <w:p>
      <w:pPr>
        <w:spacing w:line="276" w:lineRule="auto" w:after="120"/>
      </w:pPr>
      <w:r>
        <w:rPr>
          <w:rFonts w:ascii="Times New Roman" w:hAnsi="Times New Roman" w:eastAsia="Times New Roman"/>
          <w:sz w:val="24"/>
        </w:rPr>
        <w:t>Three contributions distinguish this work:</w:t>
      </w:r>
    </w:p>
    <w:p>
      <w:pPr>
        <w:spacing w:line="276" w:lineRule="auto" w:after="60"/>
        <w:ind w:left="360"/>
      </w:pPr>
      <w:r>
        <w:rPr>
          <w:rFonts w:ascii="Times New Roman" w:hAnsi="Times New Roman" w:eastAsia="Times New Roman"/>
          <w:sz w:val="24"/>
        </w:rPr>
        <w:t>• Methodological: The first end-to-end pre-registered counterfactual microsimulation of Japanese workplace harassment, with full reproducibility (HDF5 artifacts, fixed seed = 20260429, Docker container, MIT-licensed code) and open data.</w:t>
      </w:r>
    </w:p>
    <w:p>
      <w:pPr>
        <w:spacing w:line="276" w:lineRule="auto" w:after="60"/>
        <w:ind w:left="360"/>
      </w:pPr>
      <w:r>
        <w:rPr>
          <w:rFonts w:ascii="Times New Roman" w:hAnsi="Times New Roman" w:eastAsia="Times New Roman"/>
          <w:sz w:val="24"/>
        </w:rPr>
        <w:t>• Empirical: The first quantitative apples-to-apples comparison of person-level and system-level intervention effects on a population-level harassment-prevalence metric, leveraging effect-size calibrations from prior meta-analyses.</w:t>
      </w:r>
    </w:p>
    <w:p>
      <w:pPr>
        <w:spacing w:line="276" w:lineRule="auto" w:after="60"/>
        <w:ind w:left="360"/>
      </w:pPr>
      <w:r>
        <w:rPr>
          <w:rFonts w:ascii="Times New Roman" w:hAnsi="Times New Roman" w:eastAsia="Times New Roman"/>
          <w:sz w:val="24"/>
        </w:rPr>
        <w:t>• Substantive reframing: We reposition HEXACO 7-typology as a stratification variable identifying differentially exposed populations rather than as an intervention target. This framing rejects victim-blaming readings of harassment exposure and aligns with workplace ethics literature.</w:t>
      </w:r>
    </w:p>
    <w:p>
      <w:pPr>
        <w:spacing w:line="276" w:lineRule="auto" w:after="120"/>
      </w:pPr>
      <w:r>
        <w:rPr>
          <w:rFonts w:ascii="Times New Roman" w:hAnsi="Times New Roman" w:eastAsia="Times New Roman"/>
          <w:sz w:val="24"/>
        </w:rPr>
        <w:t>The convergence of our pre-registered counterfactual evidence with the MHLW FY2016–FY2023 natural experiment (−13.2 pp post-Power-Harassment-Prevention-Law decline) provides a rare quasi-validation of our policy-relevant claim.</w:t>
      </w:r>
    </w:p>
    <w:p>
      <w:pPr>
        <w:spacing w:line="276" w:lineRule="auto" w:after="120"/>
      </w:pPr>
      <w:r>
        <w:rPr>
          <w:rFonts w:ascii="Times New Roman" w:hAnsi="Times New Roman" w:eastAsia="Times New Roman"/>
          <w:b/>
          <w:sz w:val="24"/>
        </w:rPr>
        <w:t>Compliance with Stage 2 RR review criteria</w:t>
      </w:r>
    </w:p>
    <w:p>
      <w:pPr>
        <w:spacing w:line="276" w:lineRule="auto" w:after="60"/>
        <w:ind w:left="360"/>
      </w:pPr>
      <w:r>
        <w:rPr>
          <w:rFonts w:ascii="Times New Roman" w:hAnsi="Times New Roman" w:eastAsia="Times New Roman"/>
          <w:sz w:val="24"/>
        </w:rPr>
        <w:t>• Pre-registration adherence: All deviations from the v2.0 master are documented in the Methods Clarifications Log (locked 2026-04-30 alongside the v2.0 registration) and disclosed in the Methods (Pre-registered analytic pipeline) section of the manuscript. No undocumented deviations occurred.</w:t>
      </w:r>
    </w:p>
    <w:p>
      <w:pPr>
        <w:spacing w:line="276" w:lineRule="auto" w:after="60"/>
        <w:ind w:left="360"/>
      </w:pPr>
      <w:r>
        <w:rPr>
          <w:rFonts w:ascii="Times New Roman" w:hAnsi="Times New Roman" w:eastAsia="Times New Roman"/>
          <w:sz w:val="24"/>
        </w:rPr>
        <w:t>• Hypotheses tested: All seven pre-registered hypotheses (H1–H7) are evaluated; outcomes are reported per pre-registered classification rules in Table 6.</w:t>
      </w:r>
    </w:p>
    <w:p>
      <w:pPr>
        <w:spacing w:line="276" w:lineRule="auto" w:after="60"/>
        <w:ind w:left="360"/>
      </w:pPr>
      <w:r>
        <w:rPr>
          <w:rFonts w:ascii="Times New Roman" w:hAnsi="Times New Roman" w:eastAsia="Times New Roman"/>
          <w:sz w:val="24"/>
        </w:rPr>
        <w:t>• Reproducibility: All code is publicly archived under MIT license at https://github.com/etoki/paper (directory: simulation/); intermediate HDF5 artifacts at OSF; SHA-256 hash-verified reproduction via make reproduce.</w:t>
      </w:r>
    </w:p>
    <w:p>
      <w:pPr>
        <w:spacing w:line="276" w:lineRule="auto" w:after="60"/>
        <w:ind w:left="360"/>
      </w:pPr>
      <w:r>
        <w:rPr>
          <w:rFonts w:ascii="Times New Roman" w:hAnsi="Times New Roman" w:eastAsia="Times New Roman"/>
          <w:sz w:val="24"/>
        </w:rPr>
        <w:t>• 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the parent project's public Wiki (osf.io/3hxz6/wiki/home/) lists the access criteria, IRB requirements, and four data-use terms. Population reweighting data (Statistics Bureau / MIC Labor Force Survey 2022) are publicly archived in the GitHub repository.</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The Discussion (Limitations subsection) discloses six limitations explicitly:</w:t>
      </w:r>
    </w:p>
    <w:p>
      <w:pPr>
        <w:spacing w:line="276" w:lineRule="auto" w:after="60"/>
        <w:ind w:left="360"/>
      </w:pPr>
      <w:r>
        <w:rPr>
          <w:rFonts w:ascii="Times New Roman" w:hAnsi="Times New Roman" w:eastAsia="Times New Roman"/>
          <w:sz w:val="24"/>
        </w:rPr>
        <w:t>• Reduced-form framing of Counterfactual C (population-level statistical translation of structural change; mechanistic deterrence dynamics not endogenously modeled);</w:t>
      </w:r>
    </w:p>
    <w:p>
      <w:pPr>
        <w:spacing w:line="276" w:lineRule="auto" w:after="60"/>
        <w:ind w:left="360"/>
      </w:pPr>
      <w:r>
        <w:rPr>
          <w:rFonts w:ascii="Times New Roman" w:hAnsi="Times New Roman" w:eastAsia="Times New Roman"/>
          <w:sz w:val="24"/>
        </w:rPr>
        <w:t>• Causal under-identification (selection, confounding, and reverse causation cannot be distinguished from M1 direct causation, only the latter rejected);</w:t>
      </w:r>
    </w:p>
    <w:p>
      <w:pPr>
        <w:spacing w:line="276" w:lineRule="auto" w:after="60"/>
        <w:ind w:left="360"/>
      </w:pPr>
      <w:r>
        <w:rPr>
          <w:rFonts w:ascii="Times New Roman" w:hAnsi="Times New Roman" w:eastAsia="Times New Roman"/>
          <w:sz w:val="24"/>
        </w:rPr>
        <w:t>• Heterogeneity in counterfactual response (uniform −20% across cells; cell-specific response not estimated);</w:t>
      </w:r>
    </w:p>
    <w:p>
      <w:pPr>
        <w:spacing w:line="276" w:lineRule="auto" w:after="60"/>
        <w:ind w:left="360"/>
      </w:pPr>
      <w:r>
        <w:rPr>
          <w:rFonts w:ascii="Times New Roman" w:hAnsi="Times New Roman" w:eastAsia="Times New Roman"/>
          <w:sz w:val="24"/>
        </w:rPr>
        <w:t>• Static framing (no temporal dynamics);</w:t>
      </w:r>
    </w:p>
    <w:p>
      <w:pPr>
        <w:spacing w:line="276" w:lineRule="auto" w:after="60"/>
        <w:ind w:left="360"/>
      </w:pPr>
      <w:r>
        <w:rPr>
          <w:rFonts w:ascii="Times New Roman" w:hAnsi="Times New Roman" w:eastAsia="Times New Roman"/>
          <w:sz w:val="24"/>
        </w:rPr>
        <w:t>• m8 limitation (cluster proportions M3-fixed at Tokiwa 2026 IEEE Access values);</w:t>
      </w:r>
    </w:p>
    <w:p>
      <w:pPr>
        <w:spacing w:line="276" w:lineRule="auto" w:after="60"/>
        <w:ind w:left="360"/>
      </w:pPr>
      <w:r>
        <w:rPr>
          <w:rFonts w:ascii="Times New Roman" w:hAnsi="Times New Roman" w:eastAsia="Times New Roman"/>
          <w:sz w:val="24"/>
        </w:rPr>
        <w:t>• Sample size (N = 354; cell-level CIs adequate but not extensively replicated).</w:t>
      </w:r>
    </w:p>
    <w:p>
      <w:pPr>
        <w:spacing w:line="276" w:lineRule="auto" w:after="120"/>
      </w:pPr>
      <w:r>
        <w:rPr>
          <w:rFonts w:ascii="Times New Roman" w:hAnsi="Times New Roman" w:eastAsia="Times New Roman"/>
          <w:sz w:val="24"/>
        </w:rPr>
        <w:t>We position these limitations as future-work targets rather than threats to the Stage 2 conclusion, which depends only on the apples-to-apples comparison of pre-registered effect-size calibrations.</w:t>
      </w:r>
    </w:p>
    <w:p>
      <w:pPr>
        <w:spacing w:line="276" w:lineRule="auto" w:after="120"/>
      </w:pPr>
      <w:r>
        <w:rPr>
          <w:rFonts w:ascii="Times New Roman" w:hAnsi="Times New Roman" w:eastAsia="Times New Roman"/>
          <w:b/>
          <w:sz w:val="24"/>
        </w:rPr>
        <w:t>Author, funding, and competing-interests statement</w:t>
      </w:r>
    </w:p>
    <w:p>
      <w:pPr>
        <w:spacing w:line="276" w:lineRule="auto" w:after="120"/>
      </w:pPr>
      <w:r>
        <w:rPr>
          <w:rFonts w:ascii="Times New Roman" w:hAnsi="Times New Roman" w:eastAsia="Times New Roman"/>
          <w:sz w:val="24"/>
        </w:rPr>
        <w:t>This is a sole-authored submission. The author (Eisuke Tokiwa, ORCID 0009-0009-7124-6669) discloses the following potential competing interest: the author is the representative of SUNBLAZE Co., Ltd. (Tokyo, Japan), which provides HEXACO-JP, a proprietary Japanese-language HEXACO-based personality assessment service. The present study does not use HEXACO-JP; it uses the HEXACO-PI-R Japanese 60-item adaptation published by Wakabayashi (2014) as a separately validated, openly cited instrument. The manuscript does not reference, evaluate, market, recommend, or otherwise promote HEXACO-JP or any other SUNBLAZE product or service. The research received no SUNBLAZE funding, no external grant funding, and was conducted as an independent academic project. The headline empirical findings (null personality-intervention contrast, positive structural-intervention contrast, and the reframing of HEXACO 7-typology as a stratification variable rather than an intervention or screening target) do not differentially favor commercial HEXACO-based assessment products.</w:t>
      </w:r>
    </w:p>
    <w:p>
      <w:pPr>
        <w:spacing w:line="276" w:lineRule="auto" w:after="120"/>
      </w:pPr>
      <w:r>
        <w:rPr>
          <w:rFonts w:ascii="Times New Roman" w:hAnsi="Times New Roman" w:eastAsia="Times New Roman"/>
          <w:b/>
          <w:sz w:val="24"/>
        </w:rPr>
        <w:t>Suggested reviewers</w:t>
      </w:r>
    </w:p>
    <w:p>
      <w:pPr>
        <w:spacing w:line="276" w:lineRule="auto" w:after="120"/>
      </w:pPr>
      <w:r>
        <w:rPr>
          <w:rFonts w:ascii="Times New Roman" w:hAnsi="Times New Roman" w:eastAsia="Times New Roman"/>
          <w:sz w:val="24"/>
        </w:rPr>
        <w:t>Per Personality and Individual Differences guidelines, the following authors of works cited in the manuscript have publicly demonstrated expertise relevant to the topic and have no known conflict of interest with the author:</w:t>
      </w:r>
    </w:p>
    <w:p>
      <w:pPr>
        <w:spacing w:line="276" w:lineRule="auto" w:after="60"/>
        <w:ind w:left="360"/>
      </w:pPr>
      <w:r>
        <w:rPr>
          <w:rFonts w:ascii="Times New Roman" w:hAnsi="Times New Roman" w:eastAsia="Times New Roman"/>
          <w:sz w:val="24"/>
        </w:rPr>
        <w:t>• Michael C. Ashton (Brock University, Canada) — co-creator of the HEXACO model (Ashton &amp; Lee, 2007, 2009); foundational expertise in the HEXACO personality framework that this manuscript operationalizes.</w:t>
      </w:r>
    </w:p>
    <w:p>
      <w:pPr>
        <w:spacing w:line="276" w:lineRule="auto" w:after="60"/>
        <w:ind w:left="360"/>
      </w:pPr>
      <w:r>
        <w:rPr>
          <w:rFonts w:ascii="Times New Roman" w:hAnsi="Times New Roman" w:eastAsia="Times New Roman"/>
          <w:sz w:val="24"/>
        </w:rPr>
        <w:t>• Kibeom Lee (University of Calgary, Canada) — HEXACO co-creator and lead author of Lee et al. (2013) on HEXACO + Dark Triad correlates of antisocial workplace behavior.</w:t>
      </w:r>
    </w:p>
    <w:p>
      <w:pPr>
        <w:spacing w:line="276" w:lineRule="auto" w:after="60"/>
        <w:ind w:left="360"/>
      </w:pPr>
      <w:r>
        <w:rPr>
          <w:rFonts w:ascii="Times New Roman" w:hAnsi="Times New Roman" w:eastAsia="Times New Roman"/>
          <w:sz w:val="24"/>
        </w:rPr>
        <w:t>• Morten Birkeland Nielsen (National Institute of Occupational Health, Norway) — first author of Nielsen et al. (2017) PAID meta-analysis on workplace harassment and the Five-Factor Model; directly relevant to our cross-cultural transportability sweep.</w:t>
      </w:r>
    </w:p>
    <w:p>
      <w:pPr>
        <w:spacing w:line="276" w:lineRule="auto" w:after="60"/>
        <w:ind w:left="360"/>
      </w:pPr>
      <w:r>
        <w:rPr>
          <w:rFonts w:ascii="Times New Roman" w:hAnsi="Times New Roman" w:eastAsia="Times New Roman"/>
          <w:sz w:val="24"/>
        </w:rPr>
        <w:t>• Brent W. Roberts (University of Illinois Urbana-Champaign, USA) — first author of Roberts et al. (2017) personality-trait-change meta-analysis used as the +0.3 SD calibration for Counterfactual A.</w:t>
      </w:r>
    </w:p>
    <w:p>
      <w:pPr>
        <w:spacing w:line="276" w:lineRule="auto" w:after="60"/>
        <w:ind w:left="360"/>
      </w:pPr>
      <w:r>
        <w:rPr>
          <w:rFonts w:ascii="Times New Roman" w:hAnsi="Times New Roman" w:eastAsia="Times New Roman"/>
          <w:sz w:val="24"/>
        </w:rPr>
        <w:t>• Nathan W. Hudson (Southern Methodist University, USA) — first author of Hudson &amp; Fraley (2015) on volitional personality change; co-calibrates Counterfactual A.</w:t>
      </w:r>
    </w:p>
    <w:p>
      <w:pPr>
        <w:spacing w:line="276" w:lineRule="auto" w:after="120"/>
      </w:pPr>
      <w:r>
        <w:rPr>
          <w:rFonts w:ascii="Times New Roman" w:hAnsi="Times New Roman" w:eastAsia="Times New Roman"/>
          <w:sz w:val="24"/>
        </w:rPr>
        <w:t>We respectfully request that reviewers familiar with both the HEXACO model and the Stage 2 Registered Report process be considered.</w:t>
      </w:r>
    </w:p>
    <w:p>
      <w:pPr>
        <w:spacing w:line="276" w:lineRule="auto" w:after="120"/>
      </w:pPr>
      <w:r>
        <w:rPr>
          <w:rFonts w:ascii="Times New Roman" w:hAnsi="Times New Roman" w:eastAsia="Times New Roman"/>
          <w:b/>
          <w:sz w:val="24"/>
        </w:rPr>
        <w:t>Closing</w:t>
      </w:r>
    </w:p>
    <w:p>
      <w:pPr>
        <w:spacing w:line="276" w:lineRule="auto" w:after="120"/>
      </w:pPr>
      <w:r>
        <w:rPr>
          <w:rFonts w:ascii="Times New Roman" w:hAnsi="Times New Roman" w:eastAsia="Times New Roman"/>
          <w:sz w:val="24"/>
        </w:rPr>
        <w:t>I confirm that this manuscript has not been previously published in any peer-reviewed venue and is not under consideration at any other journal. A non-peer-reviewed version has been posted as a preprint at SocArXiv (DOI 10.31235/osf.io/p2d8w_v1) per Personality and Individual Differences preprint policy. The submission is sole-authored. Code, data, and intermediate artifacts will remain publicly accessible at the indicated OSF DOI and GitHub repository for the duration of peer review and beyond.</w:t>
      </w:r>
    </w:p>
    <w:p>
      <w:pPr>
        <w:spacing w:line="276" w:lineRule="auto" w:after="120"/>
      </w:pPr>
      <w:r>
        <w:rPr>
          <w:rFonts w:ascii="Times New Roman" w:hAnsi="Times New Roman" w:eastAsia="Times New Roman"/>
          <w:sz w:val="24"/>
        </w:rPr>
        <w:t>I look forward to the editorial team's response and the peer-review process.</w:t>
      </w:r>
    </w:p>
    <w:p>
      <w:pPr>
        <w:spacing w:line="276" w:lineRule="auto" w:after="120"/>
      </w:pPr>
      <w:r>
        <w:rPr>
          <w:rFonts w:ascii="Times New Roman" w:hAnsi="Times New Roman" w:eastAsia="Times New Roman"/>
          <w:sz w:val="24"/>
        </w:rPr>
        <w:t>Sincerely,</w:t>
      </w:r>
    </w:p>
    <w:p>
      <w:pPr>
        <w:spacing w:line="276" w:lineRule="auto" w:after="120"/>
      </w:pPr>
      <w:r>
        <w:rPr>
          <w:rFonts w:ascii="Times New Roman" w:hAnsi="Times New Roman" w:eastAsia="Times New Roman"/>
          <w:sz w:val="24"/>
        </w:rPr>
        <w:t>Eisuke Tokiwa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