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Recommenders Peer Community In Registered Reports (PCI RR)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Recommenders,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HEXACO 7-Typology Workplace Harassment Microsimulation: Latent Prevalence Prediction and Target Trial Emulation of Personality-Based and Structural Counterfactuals in Japan, for consideration as a Stage 2 Registered Report at PCI RR.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registered 2026-04-30).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title used here matches the v2.0 OSF registration title verbatim, signaling fidelity to the pre-registered protocol — the convention PCI RR's review process emphasizes.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Statistics Bureau (MIC) Labor Force Survey 2022 marginals, we tested three pre-registered counterfactual interventions: (A) personality intervention shifting Honesty-Humility, Agreeableness, and Emotionality by +0.3 SD; (B) targeted personality intervention applying +0.40 SD on Honesty-Humility to individuals already in the low-prevalence HEXACO Cluster {0, 4, 6} subgroup; and (C) structural intervention reducing cell-level propensity by 20%,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+3.49 percentage points (95% CI [+2.64, +4.35] excluding zero). The classification is robust across all four pre-registered cultural attenuation factors (F = 0.3 to 1.0), including the conservative cross-cultural worst-case anchor.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Why PCI RR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PCI RR's stringent two-stage review and explicit emphasis on pre-registration adherence make it the appropriate venue for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Layered pre-registration architecture audit-ready: v2.0 master document, v1.1 → v2.0 public diff, and the Section 6.5 Level 1 Methods Clarifications Log v1.0 are all publicly archived and timestamp-locked at the OSF registration page (osf.io/3y54u, registered 2026-04-30). The 16 specification clarifications are individually itemized (4 Major + 7 Minor + 5 Nitpick) with their per-item rationale.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Byte-identical reproduction: SHA-256 reference hashes for all 31 output files are committed at simulation/output/reference_hashes.json; make verify returns "Reproduction VERIFIED" on the canonical platform. A canonical-numbers single-source-of-truth file (output/canonical_numbers.md) lists every numerical claim in the manuscript with its provenance, enabling efficient cross-validation by recommenders/reviewers.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Post-publication review hospitality: code and data remain publicly accessible at OSF and GitHub for ≥ 10 years (per pre-registration §9.6); the Authors' Contributions and Acknowledgments documented in the title page declare the methodological-review provenance transparently.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FY2016–FY2023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 (PCI RR specific)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Stage 1 protocol availability: v1.1 → v2.0 public diff at OSF (osf.io/3y54u), with full v2.0 master document (D12_pre_registration_OSF.md) and Methods Clarifications Log (D12_v2.0_methods_clarifications.md, SHA-256 fcaaf0d…) deposited as supplementary on the working project (osf.io/3hxz6/files/osfstorage/v2.0/).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itemized in the Methods Clarifications Log; all are Section 6.5 Level 1 (specification clarifications, no Level 3 v2.1 patches required).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 (~30 minutes on a single core, fixed seed 20260429).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mechanism; the parent project's public Wiki (osf.io/3hxz6/wiki/home/) lists the access criteria, IRB requirements, and four data-use terms. Population reweighting data (Statistics Bureau / MIC Labor Force Survey 2022) are publicly archived in the GitHub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(Limitations subsection)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Tokiwa 2026 IEEE Access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Author, funding, and competing-interests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discloses the following potential competing interest: the author is the representative of SUNBLAZE Co., Ltd. (Tokyo, Japan), which provides HEXACO-JP, a proprietary Japanese-language HEXACO-based personality assessment service. The present study does not use HEXACO-JP; it uses the HEXACO-PI-R Japanese 60-item adaptation published by Wakabayashi (2014) as a separately validated, openly cited instrument. The manuscript does not reference, evaluate, market, recommend, or otherwise promote HEXACO-JP or any other SUNBLAZE product or service. The research received no SUNBLAZE funding, no external grant funding, and was conducted as an independent academic project. The headline empirical findings (null personality-intervention contrast, positive structural-intervention contrast, and the reframing of HEXACO 7-typology as a stratification variable rather than an intervention or screening target) do not differentially favor commercial HEXACO-based assessment products.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recommenders /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PCI RR uses a Recommender + community-reviewer structure. The following authors of methods or substantive works cited in the manuscript have publicly demonstrated relevant expertise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Miguel A. Hernán (Harvard T.H. Chan School of Public Health, USA) — co-author of Hernán &amp; Robins (2016, 2020) target-trial-emulation framework, the explicit methodological backbone of Stages 6–7.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Brent W. Roberts (University of Illinois Urbana-Champaign, USA) — first author of Roberts et al. (2017) personality-trait-change meta-analysis; calibration source for Counterfactual A. Active in pre-registered personality-change research.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Bradley Efron (Stanford University, USA) — author of Efron (1987) on the BCa bootstrap, the central method used in our four-step CI cascade.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Roger L. Berger (North Carolina State University, USA) — co-author of Berger &amp; Hsu (1996) intersection-union test; the H7 evaluation framework.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Denise Salin (Hanken School of Economics, Finland) — substantive expert on workplace bullying mechanisms (Salin, 2003, 2021), familiar with the calibration literature for Counterfactual C.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recommenders familiar with target-trial emulation, registered-report Stage 2 audit, and workplace-bullying intervention literature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 in any peer-reviewed venue and is not under consideration elsewhere. A non-peer-reviewed version has been posted as a preprint at SocArXiv (DOI 10.31235/osf.io/p2d8w_v1) per PCI RR's preprint-permissive policy. The submission is sole-authored.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recommender's response and the community-review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