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document"/>
      </w:pPr>
      <w:r>
        <w:t>Cultural dimensions in online learning: A Hofstede-moderated within-Asia synthesis of the Big Five and academic achievement, with a focused look at the Japanese context</w:t>
      </w:r>
    </w:p>
    <w:p>
      <w:pPr>
        <w:pStyle w:val="Authors"/>
      </w:pPr>
      <w:r>
        <w:t>Eisuke Tokiwa</w:t>
      </w:r>
    </w:p>
    <w:p>
      <w:pPr>
        <w:pStyle w:val="Affiliation"/>
      </w:pPr>
      <w:r>
        <w:t>SUNBLAZE Co., Ltd., Tokyo, Japan; eisuke.tokiwa@sunblaze.jp; ORCID 0009-0009-7124-6669</w:t>
      </w:r>
    </w:p>
    <w:p>
      <w:pPr>
        <w:pStyle w:val="Abstract"/>
      </w:pPr>
      <w:r>
        <w:rPr>
          <w:b/>
        </w:rPr>
        <w:t xml:space="preserve">Background. </w:t>
      </w:r>
      <w:r>
        <w:t xml:space="preserve">The parent meta-analysis (Research Square preprint, DOI 10.21203/rs.3.rs-9513298/v1) reports an Extraversion × Region moderator in Big Five – academic-achievement research on online learning (Asian pooled r = −0.131, k = 2, vs non-Asian r = +0.050, k = 7; Knapp–Hartung meta-regression F(1, 7) = 29.52, p &lt; .001), but does not decompose the Asia bin into its country-level constituents. </w:t>
      </w:r>
      <w:r>
        <w:rPr>
          <w:b/>
        </w:rPr>
        <w:t xml:space="preserve">Objective. </w:t>
      </w:r>
      <w:r>
        <w:t xml:space="preserve">To (i) attach Hofstede 6-D country scores to the Asian primary-pool studies, and (ii) test whether observed Big Five – outcome directions in Japan-based studies match Hofstede &amp; McCrae (2004) trait-dimension predictions. </w:t>
      </w:r>
      <w:r>
        <w:rPr>
          <w:b/>
        </w:rPr>
        <w:t xml:space="preserve">Methods. </w:t>
      </w:r>
      <w:r>
        <w:t xml:space="preserve">The Asian primary pool comprises k = 2 studies with extractable Pearson r (Yu 2021, China; Rivers 2021, Japan); a third Japan-based study (Tokiwa 2025, K-12) contributes descriptive Spearman ρ. Random-effects pools use REML + HKSJ. Because residual df = 0, single-dimension weighted-OLS Hofstede meta-regressions yield descriptive slopes only. Direction predictions for Japan, derived from Hofstede &amp; McCrae (2004), are cross-referenced against observed r in both Japan studies. </w:t>
      </w:r>
      <w:r>
        <w:rPr>
          <w:b/>
        </w:rPr>
        <w:t xml:space="preserve">Results. </w:t>
      </w:r>
      <w:r>
        <w:t xml:space="preserve">The direction-match analysis yields 3 of 5 trait matches (Conscientiousness+, Extraversion−, Neuroticism+; Agreeableness and Openness mismatch). The diagnostic finding is Neuroticism+: observed in both Japan studies, doubly predicted by Japan's very high Uncertainty Avoidance (UAI = 92) and Masculinity (MAS = 95), and opposite to the consistent N− pattern reported in Western Big Five meta-analyses (Poropat 2009; Mammadov 2022). The Agreeableness mismatch (predicted −, observed +) suggests that online-learning behaviour-level engagement may decouple from population trait-level A in collectivist contexts. </w:t>
      </w:r>
      <w:r>
        <w:rPr>
          <w:b/>
        </w:rPr>
        <w:t xml:space="preserve">Conclusion. </w:t>
      </w:r>
      <w:r>
        <w:t xml:space="preserve">Country-level Hofstede context may reshape the Big Five – achievement pattern in ways the binary Asia/non-Asia contrast obscures. With k = 2, the contribution is methodological rather than confirmatory: it flags within-Asia heterogeneity and instrument confounds (60-item BFI-2-J vs 10-item TIPI-J) as prerequisites for future Japan-specific syntheses. </w:t>
      </w:r>
    </w:p>
    <w:p>
      <w:pPr>
        <w:pStyle w:val="KeyWords"/>
      </w:pPr>
      <w:r>
        <w:t>Additional Keywords and Phrases: meta-analysis; Big Five personality traits; online learning; Hofstede cultural dimensions; Japan; cross-cultural psychology</w:t>
      </w:r>
    </w:p>
    <w:p>
      <w:pPr>
        <w:pStyle w:val="Head1"/>
      </w:pPr>
      <w:r>
        <w:t>INTRODUCTION</w:t>
      </w:r>
    </w:p>
    <w:p>
      <w:pPr>
        <w:pStyle w:val="PostHeadPara"/>
      </w:pPr>
      <w:r>
        <w:t>The Big Five – academic-achievement link is robust at the trait level (Poropat 2009; Mammadov 2022; Chen, Cheung, &amp; Zeng 2025) but is increasingly recognised as culturally conditional, with Mammadov flagging Asian samples as showing amplified Conscientiousness and sometimes inverted Extraversion. The parent preprint (Tokiwa, 2026, DOI 10.21203/rs.3.rs-9513298/v1) reports a binary Asia / non-Asia contrast with Extraversion × Region the headline (Asian r = −0.131 vs non-Asian r = +0.050) but does not decompose the Asian bin into its country-level constituents — even though Japan, China, Korea, and Taiwan differ sharply on Hofstede Power Distance, UAI, MAS, and IND scores (Hofstede Insights 2024). Re-tested here with a Knapp–Hartung mixed-effects meta-regression, the contrast gives F(1, 7) = 29.52, p &lt; .001; the preprint's Q_between = 46.43 applied a large-sample χ² test to small-sample HKSJ standard errors and overstates the evidence. Either way, the contrast rests on only two Asian studies.</w:t>
      </w:r>
    </w:p>
    <w:p>
      <w:pPr>
        <w:pStyle w:val="Para"/>
      </w:pPr>
      <w:r>
        <w:t>This paper asks: once you decompose the Asia bin, do Hofstede cultural dimensions predict the direction of Big Five – achievement correlations within Asia? With only k = 2 Asian primary-pool studies contributing extractable r (A-28 Yu, China; A-31 Rivers, Japan), no inference is possible from the meta-regression. We therefore reframe the analysis as a Hofstede direction-prediction match against the two Japan-based studies (Tokiwa 2025 K-12, Rivers 2021 UG; Hofstede &amp; McCrae 2004 trait-dimension correlations as the prediction source). The headline finding is a 3-of-5 trait direction-match, with the Neuroticism positive direction in both Japan studies opposite to the Western pattern and doubly predicted by Japan's very high UAI and MAS.</w:t>
      </w:r>
    </w:p>
    <w:p>
      <w:pPr>
        <w:pStyle w:val="Head1"/>
      </w:pPr>
      <w:r>
        <w:t>RELATED WORK</w:t>
      </w:r>
    </w:p>
    <w:p>
      <w:pPr>
        <w:pStyle w:val="Head2"/>
      </w:pPr>
      <w:r>
        <w:t>Hofstede's framework, Big Five linkages, and educational implications</w:t>
      </w:r>
    </w:p>
    <w:p>
      <w:pPr>
        <w:pStyle w:val="PostHeadPara"/>
      </w:pPr>
      <w:r>
        <w:t>Hofstede's (2001) 2nd-edition model operationalises national culture in 6 dimensions — Power Distance (PDI), Individualism (IDV), Masculinity (MAS), Uncertainty Avoidance (UAI), Long-Term Orientation (LTO), Indulgence (IND); latest scores from Hofstede Insights (2024). Critiques (Minkov &amp; Hofstede, 2014; McSweeney, 2002) for ecological-fallacy risk and for the 1970s IBM-sample provenance are acknowledged: we use the dimensions as country-level proxies for shared cultural orientation, not as individual-level claims.</w:t>
      </w:r>
    </w:p>
    <w:p>
      <w:pPr>
        <w:pStyle w:val="Para"/>
      </w:pPr>
      <w:r>
        <w:t>Big Five × Hofstede linkages. Hofstede &amp; McCrae (2004) report country-level correlations between aggregate NEO-PI-R Big Five trait means and Hofstede dimensions. Correlations relevant to the Asian subset (HM04 Table 4): UAI × N r = +.31; UAI × A r = −.45; PDI × C r = +.43; PDI × E r = −.31; IDV × E r = +.39; MAS × N r = +.30; MAS × O r = +.37. Hofstede (1986), applying the 4-D model directly to education, characterises strong-UAI societies as ones in which 'students prefer structured learning situations … rewarded for accuracy in problem solving', and where students 'are allowed to behave emotionally' — sketching a plausible mechanism by which trait Neuroticism (anxiety, sensitivity) may promote academic engagement in high-UAI contexts. Schmitt et al. (2007) place Japan's trait N mean at 57.87, near the top of 56 nations; Allik &amp; McCrae (2004) further note that Japan does not cluster cleanly with other East Asian samples in their 36-culture geography. Together these undermine the 'Asia' moderator level as a substitute for country-specific analysis.</w:t>
      </w:r>
    </w:p>
    <w:p>
      <w:pPr>
        <w:pStyle w:val="Para"/>
      </w:pPr>
      <w:r>
        <w:t>Japan's profile (PDI = 54, IDV = 46, MAS = 95, UAI = 92) yields HM04-derived direction predictions tabulated in Section 4.4 (Table 4). The N+ prediction is particularly diagnostic because it is opposite to the consistent N− pattern in Western Big Five – achievement meta-analyses (Poropat, 2009; Mammadov, 2022).</w:t>
      </w:r>
    </w:p>
    <w:p>
      <w:pPr>
        <w:pStyle w:val="Head2"/>
      </w:pPr>
      <w:r>
        <w:t>East Asian samples in personality – academic-achievement research</w:t>
      </w:r>
    </w:p>
    <w:p>
      <w:pPr>
        <w:pStyle w:val="PostHeadPara"/>
      </w:pPr>
      <w:r>
        <w:t>Reviews specific to East Asian samples (Chen et al. 2025; Mammadov 2022) report two recurring patterns: (i) Conscientiousness is at least as strong a predictor of achievement as in Western samples, often slightly stronger in collectivist sub-populations; and (ii) Extraversion's role is attenuated or reversed in collectivist contexts where individual social initiative is valued less highly. The preprint's Asian subset findings (E r = −0.131; C r = +0.111) are consistent with this pattern.</w:t>
      </w:r>
    </w:p>
    <w:p>
      <w:pPr>
        <w:pStyle w:val="Head2"/>
      </w:pPr>
      <w:r>
        <w:t>Japanese online learning context</w:t>
      </w:r>
    </w:p>
    <w:p>
      <w:pPr>
        <w:pStyle w:val="PostHeadPara"/>
      </w:pPr>
      <w:r>
        <w:t>Japan-specific online-learning research is dominated by two patterns. First, the use of the StudySapuri commercial LMS by K-12 cohorts (asynchronous, self-paced video lectures plus practice problems) — A-25 Tokiwa (2025) is one such cohort. Second, the use of Moodle in undergraduate language education (asynchronous LMS-paced reading and writing assignments) — A-31 Rivers (2021) is the example here. Both studies use asynchronous formats, but their personality instruments (60-item BFI-2-J vs 10-item TIPI-J) differ by an order of magnitude in measurement granularity, which is a major between-study confound that the present synthesis surfaces.</w:t>
      </w:r>
    </w:p>
    <w:p>
      <w:pPr>
        <w:pStyle w:val="Head1"/>
      </w:pPr>
      <w:r>
        <w:t>METHOD</w:t>
      </w:r>
    </w:p>
    <w:p>
      <w:pPr>
        <w:pStyle w:val="Head2"/>
      </w:pPr>
      <w:r>
        <w:t>Data</w:t>
      </w:r>
    </w:p>
    <w:p>
      <w:pPr>
        <w:pStyle w:val="PostHeadPara"/>
      </w:pPr>
      <w:r>
        <w:t>The corpus is inherited from the parent preprint via the derived studies dataset. PRISMA 2020 standards (Page et al., 2021) were followed; Figure 1 reproduces the flow diagram with the ICEEL terminal box marking the Asian-subset extraction (k = 2 with extractable r per trait; A-25 Tokiwa Japan retained for qualitative synthesis only). The Asian subset is extracted by region == 'Asia'. After requiring extractable Pearson r per trait, k = 2 Asian primary-pool studies remain: A-28 Yu (China; β-converted r) and A-31 Rivers (Japan; direct r). Two further Asian primary-pool studies (A-25 Tokiwa, A-26 Wang) are present in the qualitative synthesis but do not contribute extractable r values.</w:t>
      </w:r>
    </w:p>
    <w:p>
      <w:r>
        <w:drawing>
          <wp:inline xmlns:a="http://schemas.openxmlformats.org/drawingml/2006/main" xmlns:pic="http://schemas.openxmlformats.org/drawingml/2006/picture">
            <wp:extent cx="4320000" cy="5391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_ice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9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1: PRISMA 2020 flow diagram (ICEEL 2026 submission). Identification → Screening → Eligibility → Included counts. The ICEEL terminal box marks the Asian primary-pool subset (k = 2 with extractable r per trait: A-28 Yu, China; A-31 Rivers, Japan; plus A-25 Tokiwa Japan in narrative synthesis). Adapted from Page et al. (2021), BMJ 372, n71.</w:t>
      </w:r>
    </w:p>
    <w:p>
      <w:pPr>
        <w:pStyle w:val="Head2"/>
      </w:pPr>
      <w:r>
        <w:t>Hofstede cultural-dimensions table</w:t>
      </w:r>
    </w:p>
    <w:p>
      <w:pPr>
        <w:pStyle w:val="PostHeadPara"/>
      </w:pPr>
      <w:r>
        <w:t>Country-level Hofstede 6-D scores are encoded inline in the analysis script using the canonical Hofstede Insights values. For the Asian primary-pool countries:</w:t>
      </w:r>
    </w:p>
    <w:p>
      <w:pPr>
        <w:pStyle w:val="Para"/>
      </w:pPr>
      <w:r>
        <w:t>Japan: PDI = 54, IDV = 46, MAS = 95, UAI = 92, LTO = 88, IND = 42. China: PDI = 80, IDV = 20, MAS = 66, UAI = 30, LTO = 87, IND = 24.</w:t>
      </w:r>
    </w:p>
    <w:p>
      <w:pPr>
        <w:pStyle w:val="Para"/>
      </w:pPr>
      <w:r>
        <w:t>These two countries differ most sharply on Individualism (Japan +26), Power Distance (China +26), Masculinity (Japan +29), Uncertainty Avoidance (Japan +62), and Indulgence (Japan +18), with similar Long-Term Orientation.</w:t>
      </w:r>
    </w:p>
    <w:p>
      <w:pPr>
        <w:pStyle w:val="Head2"/>
      </w:pPr>
      <w:r>
        <w:t>Statistical model</w:t>
      </w:r>
    </w:p>
    <w:p>
      <w:pPr>
        <w:pStyle w:val="PostHeadPara"/>
      </w:pPr>
      <w:r>
        <w:t>Per trait, REML + HKSJ pooled r is computed on the k = 2 Asian primary-pool studies (back-transformed 95 % CI reported), with τ² estimated by maximising the restricted likelihood. For each (trait, dimension) pair, a 2-parameter weighted-OLS Hofstede meta-regression is fit (weights = 1 / (v + τ²), τ² from REML). Because k = 2, residual df = 0; slopes are computable but no SE / t / p estimable, so slopes are reported as descriptive only.</w:t>
      </w:r>
    </w:p>
    <w:p>
      <w:pPr>
        <w:pStyle w:val="Head3"/>
      </w:pPr>
      <w:r>
        <w:t>Japan synthesis.</w:t>
      </w:r>
    </w:p>
    <w:p>
      <w:pPr>
        <w:pStyle w:val="PostHeadPara"/>
      </w:pPr>
      <w:r>
        <w:t>The two Japan primary-pool studies are tabulated side-by-side on N, modality, education level, instrument, and per-trait r (where available). The narrative discussion is the analytic vehicle; no formal pooling is attempted at k = 2.</w:t>
      </w:r>
    </w:p>
    <w:p>
      <w:pPr>
        <w:pStyle w:val="Head2"/>
      </w:pPr>
      <w:r>
        <w:t>Reproducibility</w:t>
      </w:r>
    </w:p>
    <w:p>
      <w:pPr>
        <w:pStyle w:val="PostHeadPara"/>
      </w:pPr>
      <w:r>
        <w:t>All numerical results are produced by run_hofstede_meta.py under scripts/. Pooling primitives (Fisher z, var z, REML τ², HKSJ-adjusted CI) are imported from analysis/pool.py in the parent preprint repository.</w:t>
      </w:r>
    </w:p>
    <w:p>
      <w:pPr>
        <w:pStyle w:val="Head1"/>
      </w:pPr>
      <w:r>
        <w:t>RESULTS</w:t>
      </w:r>
    </w:p>
    <w:p>
      <w:pPr>
        <w:pStyle w:val="Head2"/>
      </w:pPr>
      <w:r>
        <w:t>Asian-subset pooled correlations</w:t>
      </w:r>
    </w:p>
    <w:p>
      <w:pPr>
        <w:pStyle w:val="PostHeadPara"/>
      </w:pPr>
      <w:r>
        <w:t>Table 1 reports the per-trait pooled correlations on the Asian primary-pool subset.</w:t>
      </w:r>
    </w:p>
    <w:p>
      <w:pPr>
        <w:pStyle w:val="TableCaption"/>
      </w:pPr>
      <w:r>
        <w:t>Table 1: Asian-subset random-effects pooled correlations (REML + HKSJ; k = 2 per trait; A-28 Yu China; A-31 Rivers Japan).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N (pooled)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r [95 % CI]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6"/>
              </w:rPr>
              <w:t>I²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0.158 [−0.989, 0.994]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96.0 %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0.111 [−0.039, 0.257]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−0.131 [−0.314, 0.061]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0.324 [−0.981, 0.995]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95.6 %</w:t>
            </w:r>
          </w:p>
        </w:tc>
      </w:tr>
      <w:tr>
        <w:tc>
          <w:tcPr>
            <w:tcW w:type="dxa" w:w="1752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1301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0.089 [0.008, 0.169]</w:t>
            </w:r>
          </w:p>
        </w:tc>
        <w:tc>
          <w:tcPr>
            <w:tcW w:type="dxa" w:w="1752"/>
          </w:tcPr>
          <w:p>
            <w:r/>
            <w:r>
              <w:rPr>
                <w:sz w:val="16"/>
              </w:rPr>
              <w:t>0.0 %</w:t>
            </w:r>
          </w:p>
        </w:tc>
      </w:tr>
    </w:tbl>
    <w:p>
      <w:pPr>
        <w:pStyle w:val="Para"/>
      </w:pPr>
      <w:r>
        <w:t>C, E, and N pools have I² = 0 (the two studies agree closely in z-space); O and A pools have I² = 96 % driven by sharply different point estimates. C, E, and N match the preprint's Region: Asia row; O and A differ from it by 0.006 because τ² is estimated here by exact REML.</w:t>
      </w:r>
    </w:p>
    <w:p>
      <w:pPr>
        <w:pStyle w:val="Head2"/>
      </w:pPr>
      <w:r>
        <w:t>Hofstede single-dimension meta-regression</w:t>
      </w:r>
    </w:p>
    <w:p>
      <w:pPr>
        <w:pStyle w:val="PostHeadPara"/>
      </w:pPr>
      <w:r>
        <w:t>Table 2 reports the per-trait per-dimension slope estimates. With df_resid = 0 the inferential columns (SE, t, p) are not estimable; only the slope is reported.</w:t>
      </w:r>
    </w:p>
    <w:p>
      <w:pPr>
        <w:pStyle w:val="TableCaption"/>
      </w:pPr>
      <w:r>
        <w:t>Table 2: Hofstede single-dimension meta-regression slopes, descriptive only (k = 2; df_resid = 0).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190"/>
        <w:gridCol w:w="2190"/>
        <w:gridCol w:w="2190"/>
        <w:gridCol w:w="2190"/>
      </w:tblGrid>
      <w:tr>
        <w:tc>
          <w:tcPr>
            <w:tcW w:type="dxa" w:w="2190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slope (Fisher z per unit)</w:t>
            </w:r>
          </w:p>
        </w:tc>
        <w:tc>
          <w:tcPr>
            <w:tcW w:type="dxa" w:w="2190"/>
          </w:tcPr>
          <w:p>
            <w:r/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+0.0168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−0.0168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−0.4372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−0.0014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+0.0014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+0.0376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+0.0018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−0.0018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−0.0481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+0.0162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−0.4201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PDI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−0.0008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IDV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+0.0008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  <w:tr>
        <w:tc>
          <w:tcPr>
            <w:tcW w:type="dxa" w:w="219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LTO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+0.0202</w:t>
            </w:r>
          </w:p>
        </w:tc>
        <w:tc>
          <w:tcPr>
            <w:tcW w:type="dxa" w:w="2190"/>
          </w:tcPr>
          <w:p>
            <w:r/>
            <w:r>
              <w:rPr>
                <w:sz w:val="16"/>
              </w:rPr>
              <w:t>descriptive</w:t>
            </w:r>
          </w:p>
        </w:tc>
      </w:tr>
    </w:tbl>
    <w:p>
      <w:pPr>
        <w:pStyle w:val="Para"/>
      </w:pPr>
      <w:r>
        <w:t>(Selected rows; full table in results/hofstede_meta_regression.csv. With k = 2, all six dimensions re-express the same single Japan – China contrast. PDI and IDV slopes are mirror images because the two countries differ by 26 points on each, in opposite directions; LTO slopes are the largest in magnitude only because the two LTO scores differ by a single point (88 vs 87), and they carry no information.)</w:t>
      </w:r>
    </w:p>
    <w:p>
      <w:pPr>
        <w:pStyle w:val="Para"/>
      </w:pPr>
      <w:r>
        <w:t>The Extraversion slope on Individualism is negative (−0.0018): Japan, the more individualistic of the two countries (IDV 46 vs 20), shows the more negative Extraversion – achievement correlation (−0.173 vs −0.126). This runs against the expectation that Extraversion is more of an asset in individualistic contexts. With df_resid = 0 these slopes carry no inferential weight; they are re-expressions of the two-country contrast, not statistical tests.</w:t>
      </w:r>
    </w:p>
    <w:p>
      <w:pPr>
        <w:pStyle w:val="Head2"/>
      </w:pPr>
      <w:r>
        <w:t>Japan synthesis</w:t>
      </w:r>
    </w:p>
    <w:p>
      <w:pPr>
        <w:pStyle w:val="PostHeadPara"/>
      </w:pPr>
      <w:r>
        <w:t>Table 3 compares the two Japan-based primary-pool studies side-by-side.</w:t>
      </w:r>
    </w:p>
    <w:p>
      <w:pPr>
        <w:pStyle w:val="TableCaption"/>
      </w:pPr>
      <w:r>
        <w:t>Table 3: Japan-based primary-pool studies, narrative comparison.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920"/>
        <w:gridCol w:w="2920"/>
        <w:gridCol w:w="2920"/>
      </w:tblGrid>
      <w:tr>
        <w:tc>
          <w:tcPr>
            <w:tcW w:type="dxa" w:w="292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2920"/>
          </w:tcPr>
          <w:p>
            <w:r/>
            <w:r>
              <w:rPr>
                <w:b/>
                <w:sz w:val="16"/>
              </w:rPr>
              <w:t>A-25 Tokiwa (2025)</w:t>
            </w:r>
          </w:p>
        </w:tc>
        <w:tc>
          <w:tcPr>
            <w:tcW w:type="dxa" w:w="2920"/>
          </w:tcPr>
          <w:p>
            <w:r/>
            <w:r>
              <w:rPr>
                <w:b/>
                <w:sz w:val="16"/>
              </w:rPr>
              <w:t>A-31 Rivers (2021)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N (analytic)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149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Education level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K-12 (Year 3 high school)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Undergraduate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Modality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Asynchronous (StudySapuri LMS)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Asynchronous (Moodle)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Instrument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BFI-2-J (60 items)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TIPI-J (10 items)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Outcome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Test completion + mastery (Spearman ρ)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Course grade (Pearson r)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Era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post-COVID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COVID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r_O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not in extractable column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−0.066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r_C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+0.30 to +0.35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+0.144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r_E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mixed (Assertiveness +0.26; Sociability −)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−0.173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r_A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+0.27 to +0.29 (Lectures Watched)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+0.118</w:t>
            </w:r>
          </w:p>
        </w:tc>
      </w:tr>
      <w:tr>
        <w:tc>
          <w:tcPr>
            <w:tcW w:type="dxa" w:w="2920"/>
          </w:tcPr>
          <w:p>
            <w:r/>
            <w:r>
              <w:rPr>
                <w:sz w:val="16"/>
              </w:rPr>
              <w:t>r_N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ρ = +0.24 to +0.29 (Anxiety subscale)</w:t>
            </w:r>
          </w:p>
        </w:tc>
        <w:tc>
          <w:tcPr>
            <w:tcW w:type="dxa" w:w="2920"/>
          </w:tcPr>
          <w:p>
            <w:r/>
            <w:r>
              <w:rPr>
                <w:sz w:val="16"/>
              </w:rPr>
              <w:t>+0.107</w:t>
            </w:r>
          </w:p>
        </w:tc>
      </w:tr>
    </w:tbl>
    <w:p>
      <w:pPr>
        <w:pStyle w:val="Para"/>
      </w:pPr>
      <w:r>
        <w:t>A-25 Tokiwa's correlations are reported as Spearman ρ against StudySapuri usage outcomes (Tokiwa 2025, Tables 3 + body text); they did not survive the meta-analysis extraction protocol (which required Pearson r against achievement, not Spearman against engagement) but are included here as the original-publication descriptive comparator. A-31 Rivers's r values are extractable Pearson correlations against course grade and contribute to the meta-analysis pool.</w:t>
      </w:r>
    </w:p>
    <w:p>
      <w:pPr>
        <w:pStyle w:val="Para"/>
      </w:pPr>
      <w:r>
        <w:t>The instrument-heterogeneity contrast is striking: A-25 uses the 60-item BFI-2-J (~12 items per trait, alphas .80 – .96); A-31 uses the 10-item TIPI-J (2 items per trait, alphas constrained by definition to .50 – .60 for most traits). The per-trait reliability difference alone could account for substantial measurement-noise heterogeneity even before any cultural-context interaction is considered.</w:t>
      </w:r>
    </w:p>
    <w:p>
      <w:pPr>
        <w:pStyle w:val="Head2"/>
      </w:pPr>
      <w:r>
        <w:t>Hofstede direction-prediction match in Japan studies</w:t>
      </w:r>
    </w:p>
    <w:p>
      <w:pPr>
        <w:pStyle w:val="PostHeadPara"/>
      </w:pPr>
      <w:r>
        <w:t>Table 4 cross-references HM04-derived direction predictions for Japan with observed Big Five – outcome direction in the two Japan studies. Direction is coded + if observed magnitude ≥ +0.05, − if ≤ −0.05, flat otherwise; A-25 Tokiwa's direction is the dominant-pattern Spearman ρ against StudySapuri outcomes.</w:t>
      </w:r>
    </w:p>
    <w:p>
      <w:pPr>
        <w:pStyle w:val="TableCaption"/>
      </w:pPr>
      <w:r>
        <w:t>Table 4: Hofstede-predicted vs observed direction in Japan-based studies.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/>
            <w:r>
              <w:rPr>
                <w:b/>
                <w:sz w:val="16"/>
              </w:rPr>
              <w:t>Trait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HM04 prediction (Japan)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Driver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Tokiwa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Rivers</w:t>
            </w:r>
          </w:p>
        </w:tc>
        <w:tc>
          <w:tcPr>
            <w:tcW w:type="dxa" w:w="1460"/>
          </w:tcPr>
          <w:p>
            <w:r/>
            <w:r>
              <w:rPr>
                <w:b/>
                <w:sz w:val="16"/>
              </w:rPr>
              <w:t>Match?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PDI .43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(.30–.35)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(.14)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IDV .39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mixed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 (−.17)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UAI .31 + MAS .30 (double)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(.24–.29)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(.11)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UAI −.45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(.27–.29)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(.12)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460"/>
          </w:tcPr>
          <w:p>
            <w:r/>
            <w:r>
              <w:rPr>
                <w:sz w:val="16"/>
              </w:rPr>
              <w:t>O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+ (weak)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MAS .37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weak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− (−.07)</w:t>
            </w:r>
          </w:p>
        </w:tc>
        <w:tc>
          <w:tcPr>
            <w:tcW w:type="dxa" w:w="1460"/>
          </w:tcPr>
          <w:p>
            <w:r/>
            <w:r>
              <w:rPr>
                <w:sz w:val="16"/>
              </w:rPr>
              <w:t>✗</w:t>
            </w:r>
          </w:p>
        </w:tc>
      </w:tr>
    </w:tbl>
    <w:p>
      <w:pPr>
        <w:pStyle w:val="Para"/>
      </w:pPr>
      <w:r>
        <w:t>3 of 5 traits (C, E, N) match. The Neuroticism+ match is the headline: opposite to the Western N− pattern (Poropat 2009; Mammadov 2022), supported in both Japan studies, and doubly predicted via UAI and MAS. The A mismatch (predicted −, observed +) is informative rather than refuting: it suggests online-learning behaviour-level A engagement may decouple from population trait-level A in collectivist contexts — a hypothesis future cross-cultural syntheses can test directly.</w:t>
      </w:r>
    </w:p>
    <w:p>
      <w:pPr>
        <w:pStyle w:val="Head1"/>
      </w:pPr>
      <w:r>
        <w:t>DISCUSSION</w:t>
      </w:r>
    </w:p>
    <w:p>
      <w:pPr>
        <w:pStyle w:val="Head2"/>
      </w:pPr>
      <w:r>
        <w:t>The within-Asia evidence problem</w:t>
      </w:r>
    </w:p>
    <w:p>
      <w:pPr>
        <w:pStyle w:val="PostHeadPara"/>
      </w:pPr>
      <w:r>
        <w:t>The headline finding of this paper is structural: the binary Asia/non-Asia contrast in the parent preprint, while statistically significant for Extraversion, is supported by a very thin Asian primary pool (k = 2 with extractable r). This is not a critique of the preprint — its k constraints are entirely transparent — but a reminder that 'Asia' as a moderator level is doing more work than k = 2 can sustain. The interpretation 'Extraversion is more negative in Asia' is best read as 'Extraversion is more negative in our two Asian sample-points than in our seven non-Asian sample-points', and the fact that the two Asian points happen to be from different countries (China, Japan) is a confound that no current corpus can resolve. Both Asian studies are also asynchronous and both use objective achievement outcomes, so with the present corpus a region effect cannot be separated from a modality or outcome-type effect.</w:t>
      </w:r>
    </w:p>
    <w:p>
      <w:pPr>
        <w:pStyle w:val="Head2"/>
      </w:pPr>
      <w:r>
        <w:t>What the Hofstede slopes can and cannot show</w:t>
      </w:r>
    </w:p>
    <w:p>
      <w:pPr>
        <w:pStyle w:val="PostHeadPara"/>
      </w:pPr>
      <w:r>
        <w:t>With k = 2, the slopes in Table 2 can only be read as the direction of a single Japan – China contrast, and that contrast is confounded with everything else that differs between the two studies (instrument, education level, outcome measure, β-converted vs direct r). Read this way, the Extraversion slope on Individualism runs against the theoretical expectation: the more individualistic country shows the more negative Extraversion correlation. The LTO slopes cannot be interpreted at all, because the two countries' LTO scores differ by only one point.</w:t>
      </w:r>
    </w:p>
    <w:p>
      <w:pPr>
        <w:pStyle w:val="Head2"/>
      </w:pPr>
      <w:r>
        <w:t>The Japan instrument problem</w:t>
      </w:r>
    </w:p>
    <w:p>
      <w:pPr>
        <w:pStyle w:val="PostHeadPara"/>
      </w:pPr>
      <w:r>
        <w:t>The Japan synthesis's strongest contribution is the surfacing of instrument heterogeneity as a major confound. Two Japan-based primary-pool studies, both asynchronous, both with ~100 – 150 students, but with personality measures differing by a factor of 6 in number of items. Future syntheses that aim to make Japan-specific claims should require either (a) standardised instrument families across studies or (b) explicit instrument-level moderator analyses. The current corpus does neither.</w:t>
      </w:r>
    </w:p>
    <w:p>
      <w:pPr>
        <w:pStyle w:val="Head2"/>
      </w:pPr>
      <w:r>
        <w:t>The Hofstede direction-match in Japan</w:t>
      </w:r>
    </w:p>
    <w:p>
      <w:pPr>
        <w:pStyle w:val="PostHeadPara"/>
      </w:pPr>
      <w:r>
        <w:t>The 3-of-5 match in Table 4 — particularly the doubly-supported Neuroticism positive direction — is the strongest cultural-context finding in this paper. The N+ direction is opposite to the Western N null/negative pattern (Poropat 2009; Mammadov 2022) and is consistent with Hofstede's (1986) characterisation of strong-UAI societies as ones in which students are rewarded for structured, accuracy-focused study — behaviours plausibly fuelled by trait-level anxiety. The Agreeableness mismatch (predicted − by HM04 UAI −.45; observed + in both Japan studies) is informative rather than refuting: population trait scores need not predict individual-level personality–outcome correlations within a particular activity domain, and online-learning may afford agreeable students engagement channels that decouple from population A.</w:t>
      </w:r>
    </w:p>
    <w:p>
      <w:pPr>
        <w:pStyle w:val="Head2"/>
      </w:pPr>
      <w:r>
        <w:t>Self-plagiarism firewall</w:t>
      </w:r>
    </w:p>
    <w:p>
      <w:pPr>
        <w:pStyle w:val="PostHeadPara"/>
      </w:pPr>
      <w:r>
        <w:t>The within-Asia decomposition and the Hofstede direction-match analysis (Table 4) are both absent from the parent preprint, which only reports the binary Asia / non-Asia contrast.</w:t>
      </w:r>
    </w:p>
    <w:p>
      <w:pPr>
        <w:pStyle w:val="Head1"/>
      </w:pPr>
      <w:r>
        <w:t>LIMITATIONS</w:t>
      </w:r>
    </w:p>
    <w:p>
      <w:pPr>
        <w:pStyle w:val="PostHeadPara"/>
      </w:pPr>
      <w:r>
        <w:t>The dominant limitation is k. With k = 2 Asian primary-pool studies, the Hofstede meta-regression has zero residual degrees of freedom; slopes and direction-matches are descriptive only. Hofstede &amp; McCrae (2004) correlations describe country-level trait means, not within-country trait – achievement correlations; using them to predict the direction of the latter (Table 4) is an assumption rather than an established link. The Hofstede framework itself is critiqued (Minkov &amp; Hofstede, 2014; McSweeney, 2002) for ecological-fallacy risk and IBM-sample provenance; Minkov-revised dimensions might yield different direction predictions. Western-derived Big Five may not capture culture-specific personality structure in Japan (Cheung et al., 2003). Single-author, single-coder; country-to-Hofstede-dimension assignment uses the canonical Hofstede Insights (2024) table rather than hand-coding.</w:t>
      </w:r>
    </w:p>
    <w:p>
      <w:pPr>
        <w:pStyle w:val="Head1"/>
      </w:pPr>
      <w:r>
        <w:t>CONCLUSION</w:t>
      </w:r>
    </w:p>
    <w:p>
      <w:pPr>
        <w:pStyle w:val="PostHeadPara"/>
      </w:pPr>
      <w:r>
        <w:t>The contribution of this paper is threefold: (a) the binary Asia / non-Asia contrast in the parent preprint conceals a within-Asia structure that the current corpus cannot statistically resolve (k = 2); (b) a Hofstede direction-prediction analysis (Hofstede &amp; McCrae 2004 trait-dimension correlations) yields 3 of 5 trait direction-matches in two Japan-based studies, with the Neuroticism positive direction in both being doubly predicted by Japan's very high UAI and MAS and being opposite to the Western pattern; and (c) the Agreeableness mismatch (predicted −, observed +) opens an empirical question about whether collectivist online-learning behaviour decouples from population trait-level A.</w:t>
      </w:r>
    </w:p>
    <w:p>
      <w:pPr>
        <w:pStyle w:val="Para"/>
      </w:pPr>
      <w:r>
        <w:t>Practically, Japanese ed-tech researchers should treat Big Five-based personalisation claims with caution: only Conscientiousness shows a consistent direction; instrument standardisation (60-item BFI-2-J vs 10-item TIPI-J) and consistent trait-by-achievement reporting are prerequisites for any future Hofstede moderator analysis with df &gt; 0. Future work: extend the Asian primary-pool corpus by targeted recruitment of Korean and Taiwanese samples and test Minkov-revised dimensions as a robustness check on the HM04 mapping.</w:t>
      </w:r>
    </w:p>
    <w:p>
      <w:pPr>
        <w:pStyle w:val="AckHead"/>
      </w:pPr>
      <w:r>
        <w:t>ACKNOWLEDGMENTS</w:t>
      </w:r>
    </w:p>
    <w:p>
      <w:pPr>
        <w:pStyle w:val="AckPara"/>
      </w:pPr>
      <w:r>
        <w:t>This paper was prepared by the sole author. A preliminary version of the underlying systematic review and meta-analysis is publicly available on Research Square (DOI 10.21203/rs.3.rs-9513298/v1, posted 27 April 2026). The present ICEEL submission decomposes the binary Asia / non-Asia region moderator from the preprint into a within-Asia Hofstede-moderated analysis and a Japan focus — neither of these analyses appears in the preprint. ORCID: 0009-0009-7124-6669. The author used a large language model (Anthropic's Claude) as a research assistant for drafting, code generation, and formatting; all statistical results were re-executed by the author and all bibliographic entries verified against primary-source PDFs.</w:t>
      </w:r>
    </w:p>
    <w:p>
      <w:pPr>
        <w:pStyle w:val="ReferenceHead"/>
      </w:pPr>
      <w:r>
        <w:t>REFERENCES</w:t>
      </w:r>
    </w:p>
    <w:p>
      <w:pPr>
        <w:pStyle w:val="Bibentry"/>
      </w:pPr>
      <w:r>
        <w:t>Rivers, D. J. 2021. The role of personality traits and online academic self-efficacy in acceptance, actual use and achievement in Moodle. Education and Information Technologies 26, 4 (2021), 4353–4378. DOI: 10.1007/s10639-021-10478-3.</w:t>
      </w:r>
    </w:p>
    <w:p>
      <w:pPr>
        <w:pStyle w:val="Bibentry"/>
      </w:pPr>
      <w:r>
        <w:t>Tokiwa, E. 2025. Who excels in online learning in Japan? Frontiers in Psychology 16, Article 1420996 (2025). DOI: 10.3389/fpsyg.2025.1420996.</w:t>
      </w:r>
    </w:p>
    <w:p>
      <w:pPr>
        <w:pStyle w:val="Bibentry"/>
      </w:pPr>
      <w:r>
        <w:t>Wang, P., Wang, F., and Li, Z. 2023. Exploring the ecosystem of K-12 online learning: An empirical study of impact mechanisms in the post-pandemic era. Frontiers in Psychology 14, 1241477 (2023). DOI: 10.3389/fpsyg.2023.1241477.</w:t>
      </w:r>
    </w:p>
    <w:p>
      <w:pPr>
        <w:pStyle w:val="Bibentry"/>
      </w:pPr>
      <w:r>
        <w:t>Yu, Z. 2021. The effects of gender, educational level, and personality on online learning outcomes during the COVID-19 pandemic. International Journal of Educational Technology in Higher Education 18, 1, Article 14 (2021). DOI: 10.1186/s41239-021-00252-3.</w:t>
      </w:r>
    </w:p>
    <w:p>
      <w:pPr>
        <w:pStyle w:val="Bibentry"/>
      </w:pPr>
      <w:r>
        <w:t>Chen, S., Cheung, A. C. K., and Zeng, Z. 2025. Big Five personality traits and university students' academic performance: A meta-analysis. Personality and Individual Differences 240, 113163 (2025). DOI: 10.1016/j.paid.2025.113163.</w:t>
      </w:r>
    </w:p>
    <w:p>
      <w:pPr>
        <w:pStyle w:val="Bibentry"/>
      </w:pPr>
      <w:r>
        <w:t>Mammadov, S. 2022. Big Five personality traits and academic performance: A meta-analysis. Journal of Personality 90, 2 (2022), 222–255. DOI: 10.1111/jopy.12663.</w:t>
      </w:r>
    </w:p>
    <w:p>
      <w:pPr>
        <w:pStyle w:val="Bibentry"/>
      </w:pPr>
      <w:r>
        <w:t>Poropat, A. E. 2009. A meta-analysis of the five-factor model of personality and academic performance. Psychological Bulletin 135, 2 (2009), 322–338. DOI: 10.1037/a0014996.</w:t>
      </w:r>
    </w:p>
    <w:p>
      <w:pPr>
        <w:pStyle w:val="Bibentry"/>
      </w:pPr>
      <w:r>
        <w:t>Hofstede, G. 1986. Cultural differences in teaching and learning. International Journal of Intercultural Relations 10, 3 (1986), 301–320. DOI: 10.1016/0147-1767(86)90015-5.</w:t>
      </w:r>
    </w:p>
    <w:p>
      <w:pPr>
        <w:pStyle w:val="Bibentry"/>
      </w:pPr>
      <w:r>
        <w:t>Hofstede, G. 2001. Culture's Consequences: Comparing Values, Behaviors, Institutions and Organizations across Nations (2nd. ed.). Sage Publications, Thousand Oaks, CA.</w:t>
      </w:r>
    </w:p>
    <w:p>
      <w:pPr>
        <w:pStyle w:val="Bibentry"/>
      </w:pPr>
      <w:r>
        <w:t>Hofstede, G. and McCrae, R. R. 2004. Personality and culture revisited: Linking traits and dimensions of culture. Cross-Cultural Research 38, 1 (2004), 52–88. DOI: 10.1177/1069397103259443.</w:t>
      </w:r>
    </w:p>
    <w:p>
      <w:pPr>
        <w:pStyle w:val="Bibentry"/>
      </w:pPr>
      <w:r>
        <w:t>Hofstede Insights. 2024. Country comparison tool. Retrieved 2024 from https://www.hofstede-insights.com/.</w:t>
      </w:r>
    </w:p>
    <w:p>
      <w:pPr>
        <w:pStyle w:val="Bibentry"/>
      </w:pPr>
      <w:r>
        <w:t>Allik, J. and McCrae, R. R. 2004. Toward a geography of personality traits: Patterns of profiles across 36 cultures. Journal of Cross-Cultural Psychology 35, 1 (2004), 13–28. DOI: 10.1177/0022022103260382.</w:t>
      </w:r>
    </w:p>
    <w:p>
      <w:pPr>
        <w:pStyle w:val="Bibentry"/>
      </w:pPr>
      <w:r>
        <w:t>McCrae, R. R. and Terracciano, A. 2005. Universal features of personality traits from the observer's perspective: Data from 50 cultures. Journal of Personality and Social Psychology 88, 3 (2005), 547–561. DOI: 10.1037/0022-3514.88.3.547.</w:t>
      </w:r>
    </w:p>
    <w:p>
      <w:pPr>
        <w:pStyle w:val="Bibentry"/>
      </w:pPr>
      <w:r>
        <w:t>Schmitt, D. P., Allik, J., McCrae, R. R., and Benet-Martínez, V. 2007. The geographic distribution of Big Five personality traits: Patterns and profiles of human self-description across 56 nations. Journal of Cross-Cultural Psychology 38, 2 (2007), 173–212. DOI: 10.1177/0022022106297299.</w:t>
      </w:r>
    </w:p>
    <w:p>
      <w:pPr>
        <w:pStyle w:val="Bibentry"/>
      </w:pPr>
      <w:r>
        <w:t>Migliore, L. A. 2011. Relation between big five personality traits and Hofstede's cultural dimensions: Samples from the USA and India. Cross Cultural Management: An International Journal 18, 1 (2011), 38–54. DOI: 10.1108/13527601111104287.</w:t>
      </w:r>
    </w:p>
    <w:p>
      <w:pPr>
        <w:pStyle w:val="Bibentry"/>
      </w:pPr>
      <w:r>
        <w:t>Cheung, F. M., Cheung, S. F., Wada, S., and Zhang, J. 2003. Indigenous measures of personality assessment in Asian countries: A review. Psychological Assessment 15, 3 (2003), 280–289. DOI: 10.1037/1040-3590.15.3.280.</w:t>
      </w:r>
    </w:p>
    <w:p>
      <w:pPr>
        <w:pStyle w:val="Bibentry"/>
      </w:pPr>
      <w:r>
        <w:t>Lynn, R. and Martin, T. 1995. National differences for thirty-seven nations in extraversion, neuroticism, psychoticism and economic, demographic and other correlates. Personality and Individual Differences 19, 3 (1995), 403–406. DOI: 10.1016/0191-8869(95)00054-A.</w:t>
      </w:r>
    </w:p>
    <w:p>
      <w:pPr>
        <w:pStyle w:val="Bibentry"/>
      </w:pPr>
      <w:r>
        <w:t>McSweeney, B. 2002. Hofstede's model of national cultural differences and their consequences: A triumph of faith — a failure of analysis. Human Relations 55, 1 (2002), 89–118. DOI: 10.1177/0018726702551004.</w:t>
      </w:r>
    </w:p>
    <w:p>
      <w:pPr>
        <w:pStyle w:val="Bibentry"/>
      </w:pPr>
      <w:r>
        <w:t>Minkov, M. and Hofstede, G. 2014. A replication of Hofstede's uncertainty avoidance dimension across nationally representative samples from Europe. International Journal of Cross-Cultural Management 14, 1 (2014), 7–22. DOI: 10.1177/1470595814521600.</w:t>
      </w:r>
    </w:p>
    <w:p>
      <w:pPr>
        <w:pStyle w:val="Bibentry"/>
      </w:pPr>
      <w:r>
        <w:t>Page, M. J., McKenzie, J. E., Bossuyt, P. M., Boutron, I., Hoffmann, T. C., Mulrow, C. D., Shamseer, L., Tetzlaff, J. M., Akl, E. A., Brennan, S. E., et al. 2021. The PRISMA 2020 statement: An updated guideline for reporting systematic reviews. BMJ 372, n71 (2021). DOI: 10.1136/bmj.n71.</w:t>
      </w:r>
    </w:p>
    <w:p>
      <w:pPr>
        <w:pStyle w:val="Bibentry"/>
      </w:pPr>
      <w:r>
        <w:t>Tokiwa, E. 2026. Big Five personality traits and academic achievement in online learning environments: A systematic review and meta-analysis. Research Square preprint (2026). DOI: 10.21203/rs.3.rs-9513298/v1.</w:t>
      </w:r>
    </w:p>
    <w:sectPr w:rsidR="009F5D19" w:rsidRPr="009F5D19" w:rsidSect="000C6221">
      <w:footerReference w:type="default" r:id="rId25"/>
      <w:footerReference w:type="first" r:id="rId26"/>
      <w:pgSz w:w="12240" w:h="15840"/>
      <w:pgMar w:top="1760" w:right="2040" w:bottom="2840" w:left="1440" w:header="706" w:footer="706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DE251" w14:textId="77777777" w:rsidR="00610855" w:rsidRDefault="00610855" w:rsidP="005B434B">
      <w:pPr>
        <w:spacing w:after="0" w:line="240" w:lineRule="auto"/>
      </w:pPr>
      <w:r>
        <w:separator/>
      </w:r>
    </w:p>
  </w:endnote>
  <w:endnote w:type="continuationSeparator" w:id="0">
    <w:p w14:paraId="511BA1A9" w14:textId="77777777" w:rsidR="00610855" w:rsidRDefault="00610855" w:rsidP="005B4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nux Biolinum O">
    <w:altName w:val="Arial"/>
    <w:panose1 w:val="00000000000000000000"/>
    <w:charset w:val="00"/>
    <w:family w:val="auto"/>
    <w:notTrueType/>
    <w:pitch w:val="variable"/>
    <w:sig w:usb0="E0000AFF" w:usb1="5000E5FB" w:usb2="0000002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nux Libertine O">
    <w:altName w:val="Arial"/>
    <w:panose1 w:val="00000000000000000000"/>
    <w:charset w:val="00"/>
    <w:family w:val="auto"/>
    <w:notTrueType/>
    <w:pitch w:val="variable"/>
    <w:sig w:usb0="E0000AFF" w:usb1="5200E5FB" w:usb2="0200002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consolataN">
    <w:altName w:val="Cambria Math"/>
    <w:panose1 w:val="00000000000000000000"/>
    <w:charset w:val="00"/>
    <w:family w:val="auto"/>
    <w:notTrueType/>
    <w:pitch w:val="fixed"/>
    <w:sig w:usb0="8000002F" w:usb1="0000016B" w:usb2="00000000" w:usb3="00000000" w:csb0="00000013" w:csb1="00000000"/>
  </w:font>
  <w:font w:name="Linux Libertine">
    <w:altName w:val="Cambria"/>
    <w:panose1 w:val="00000000000000000000"/>
    <w:charset w:val="00"/>
    <w:family w:val="auto"/>
    <w:notTrueType/>
    <w:pitch w:val="variable"/>
    <w:sig w:usb0="E0000AFF" w:usb1="5000E4FB" w:usb2="00000020" w:usb3="00000000" w:csb0="000001BF" w:csb1="00000000"/>
  </w:font>
  <w:font w:name="Linux Biolinum">
    <w:altName w:val="Times New Roman"/>
    <w:panose1 w:val="00000000000000000000"/>
    <w:charset w:val="00"/>
    <w:family w:val="auto"/>
    <w:notTrueType/>
    <w:pitch w:val="variable"/>
    <w:sig w:usb0="E0000AFF" w:usb1="5000E5FB" w:usb2="00000020" w:usb3="00000000" w:csb0="000001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3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AC71B" w14:textId="2E096D1A" w:rsidR="00894B43" w:rsidRDefault="00737F1F" w:rsidP="00894B43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10484">
      <w:rPr>
        <w:noProof/>
      </w:rPr>
      <w:t>14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89D2E" w14:textId="77777777" w:rsidR="000C6221" w:rsidRDefault="00610855">
    <w:pPr>
      <w:pStyle w:val="a7"/>
    </w:pPr>
  </w:p>
  <w:p w14:paraId="26529D98" w14:textId="77777777" w:rsidR="000C6221" w:rsidRDefault="00610855">
    <w:pPr>
      <w:pStyle w:val="a7"/>
    </w:pPr>
  </w:p>
  <w:p w14:paraId="4A748651" w14:textId="77777777" w:rsidR="000C6221" w:rsidRDefault="00610855">
    <w:pPr>
      <w:pStyle w:val="a7"/>
    </w:pPr>
  </w:p>
  <w:p w14:paraId="7351B0CF" w14:textId="77777777" w:rsidR="000C6221" w:rsidRDefault="00610855">
    <w:pPr>
      <w:pStyle w:val="a7"/>
    </w:pPr>
  </w:p>
  <w:p w14:paraId="1FF8D7CF" w14:textId="77777777" w:rsidR="000C6221" w:rsidRDefault="00610855">
    <w:pPr>
      <w:pStyle w:val="a7"/>
    </w:pPr>
  </w:p>
  <w:p w14:paraId="287BD52D" w14:textId="77777777" w:rsidR="000C6221" w:rsidRDefault="00610855">
    <w:pPr>
      <w:pStyle w:val="a7"/>
    </w:pPr>
  </w:p>
  <w:p w14:paraId="31ADE2EF" w14:textId="77777777" w:rsidR="000C6221" w:rsidRDefault="00610855">
    <w:pPr>
      <w:pStyle w:val="a7"/>
    </w:pPr>
  </w:p>
  <w:p w14:paraId="76E7BE84" w14:textId="77777777" w:rsidR="000C6221" w:rsidRDefault="00610855">
    <w:pPr>
      <w:pStyle w:val="a7"/>
    </w:pPr>
  </w:p>
  <w:p w14:paraId="3384CA09" w14:textId="77777777" w:rsidR="000C6221" w:rsidRDefault="00610855">
    <w:pPr>
      <w:pStyle w:val="a7"/>
    </w:pPr>
  </w:p>
  <w:p w14:paraId="08478D52" w14:textId="77777777" w:rsidR="001E2D05" w:rsidRDefault="0061085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68659" w14:textId="77777777" w:rsidR="00610855" w:rsidRDefault="00610855" w:rsidP="005B434B">
      <w:pPr>
        <w:spacing w:after="0" w:line="240" w:lineRule="auto"/>
      </w:pPr>
      <w:r>
        <w:separator/>
      </w:r>
    </w:p>
  </w:footnote>
  <w:footnote w:type="continuationSeparator" w:id="0">
    <w:p w14:paraId="2BDA7123" w14:textId="77777777" w:rsidR="00610855" w:rsidRDefault="00610855" w:rsidP="005B434B">
      <w:pPr>
        <w:spacing w:after="0" w:line="240" w:lineRule="auto"/>
      </w:pPr>
      <w:r>
        <w:continuationSeparator/>
      </w:r>
    </w:p>
  </w:footnote>
  <w:footnote w:id="1">
    <w:p w14:paraId="4B24700F" w14:textId="77777777" w:rsidR="005B434B" w:rsidRDefault="005B434B" w:rsidP="005B434B">
      <w:pPr>
        <w:pStyle w:val="AuthNotes"/>
        <w:spacing w:line="240" w:lineRule="auto"/>
      </w:pPr>
      <w:r w:rsidRPr="00695442">
        <w:t>*</w:t>
      </w:r>
      <w:r>
        <w:t xml:space="preserve"> Place the footnote text for the author (if applicable) here.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2DED"/>
    <w:multiLevelType w:val="multilevel"/>
    <w:tmpl w:val="F40E53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17F0B4D"/>
    <w:multiLevelType w:val="multilevel"/>
    <w:tmpl w:val="4D6825E8"/>
    <w:numStyleLink w:val="111111"/>
  </w:abstractNum>
  <w:abstractNum w:abstractNumId="2" w15:restartNumberingAfterBreak="0">
    <w:nsid w:val="2A263F6D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3" w15:restartNumberingAfterBreak="0">
    <w:nsid w:val="36662F61"/>
    <w:multiLevelType w:val="singleLevel"/>
    <w:tmpl w:val="40090019"/>
    <w:lvl w:ilvl="0">
      <w:start w:val="1"/>
      <w:numFmt w:val="decimal"/>
      <w:pStyle w:val="a"/>
      <w:lvlText w:val="%1."/>
      <w:lvlJc w:val="left"/>
      <w:pPr>
        <w:ind w:left="480" w:hanging="240"/>
      </w:pPr>
      <w:rPr>
        <w:rFonts w:hint="default"/>
      </w:rPr>
    </w:lvl>
  </w:abstractNum>
  <w:abstractNum w:abstractNumId="4" w15:restartNumberingAfterBreak="0">
    <w:nsid w:val="36756063"/>
    <w:multiLevelType w:val="multilevel"/>
    <w:tmpl w:val="F75AE9DE"/>
    <w:lvl w:ilvl="0">
      <w:start w:val="1"/>
      <w:numFmt w:val="decimal"/>
      <w:pStyle w:val="Head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4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8B71091"/>
    <w:multiLevelType w:val="hybridMultilevel"/>
    <w:tmpl w:val="9768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3E22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7" w15:restartNumberingAfterBreak="0">
    <w:nsid w:val="48274591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8" w15:restartNumberingAfterBreak="0">
    <w:nsid w:val="4F4E3603"/>
    <w:multiLevelType w:val="hybridMultilevel"/>
    <w:tmpl w:val="B5609AD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63130CB7"/>
    <w:multiLevelType w:val="hybridMultilevel"/>
    <w:tmpl w:val="9E6067B6"/>
    <w:name w:val="Bib_entry_numbering"/>
    <w:lvl w:ilvl="0" w:tplc="C72A1602">
      <w:start w:val="1"/>
      <w:numFmt w:val="decimal"/>
      <w:lvlRestart w:val="0"/>
      <w:pStyle w:val="Bibentry"/>
      <w:lvlText w:val="[%1]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665FE"/>
    <w:multiLevelType w:val="hybridMultilevel"/>
    <w:tmpl w:val="1A3A63A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6B514737"/>
    <w:multiLevelType w:val="singleLevel"/>
    <w:tmpl w:val="40090019"/>
    <w:lvl w:ilvl="0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</w:abstractNum>
  <w:abstractNum w:abstractNumId="12" w15:restartNumberingAfterBreak="0">
    <w:nsid w:val="6BA328B1"/>
    <w:multiLevelType w:val="hybridMultilevel"/>
    <w:tmpl w:val="A0DA76F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6C7A4A29"/>
    <w:multiLevelType w:val="multilevel"/>
    <w:tmpl w:val="4D6825E8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Linux Biolinum O" w:hAnsi="Linux Biolinum O" w:cs="Linux Biolinum 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C87F05"/>
    <w:multiLevelType w:val="hybridMultilevel"/>
    <w:tmpl w:val="4A10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1"/>
  </w:num>
  <w:num w:numId="5">
    <w:abstractNumId w:val="3"/>
  </w:num>
  <w:num w:numId="6">
    <w:abstractNumId w:val="6"/>
  </w:num>
  <w:num w:numId="7">
    <w:abstractNumId w:val="11"/>
  </w:num>
  <w:num w:numId="8">
    <w:abstractNumId w:val="2"/>
  </w:num>
  <w:num w:numId="9">
    <w:abstractNumId w:val="7"/>
  </w:num>
  <w:num w:numId="10">
    <w:abstractNumId w:val="14"/>
  </w:num>
  <w:num w:numId="11">
    <w:abstractNumId w:val="5"/>
  </w:num>
  <w:num w:numId="12">
    <w:abstractNumId w:val="12"/>
  </w:num>
  <w:num w:numId="13">
    <w:abstractNumId w:val="8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4B"/>
    <w:rsid w:val="00054E0A"/>
    <w:rsid w:val="00080C59"/>
    <w:rsid w:val="0008391F"/>
    <w:rsid w:val="0009314B"/>
    <w:rsid w:val="000D6541"/>
    <w:rsid w:val="000F4E3C"/>
    <w:rsid w:val="001142BA"/>
    <w:rsid w:val="001754DD"/>
    <w:rsid w:val="001B633D"/>
    <w:rsid w:val="001C6FC6"/>
    <w:rsid w:val="001D3CDD"/>
    <w:rsid w:val="0022111E"/>
    <w:rsid w:val="0023048B"/>
    <w:rsid w:val="00231DBC"/>
    <w:rsid w:val="002601C2"/>
    <w:rsid w:val="00277C30"/>
    <w:rsid w:val="0029158F"/>
    <w:rsid w:val="00292C1F"/>
    <w:rsid w:val="00296257"/>
    <w:rsid w:val="002C37CC"/>
    <w:rsid w:val="002E204E"/>
    <w:rsid w:val="002F58C9"/>
    <w:rsid w:val="002F5B40"/>
    <w:rsid w:val="00340671"/>
    <w:rsid w:val="003756D0"/>
    <w:rsid w:val="003A253B"/>
    <w:rsid w:val="00457C1D"/>
    <w:rsid w:val="00547F6A"/>
    <w:rsid w:val="005B434B"/>
    <w:rsid w:val="005C3913"/>
    <w:rsid w:val="00610855"/>
    <w:rsid w:val="006E1D11"/>
    <w:rsid w:val="00720F9D"/>
    <w:rsid w:val="00737F1F"/>
    <w:rsid w:val="007B36F5"/>
    <w:rsid w:val="007E20EF"/>
    <w:rsid w:val="00810484"/>
    <w:rsid w:val="0081437E"/>
    <w:rsid w:val="008D14C0"/>
    <w:rsid w:val="00920182"/>
    <w:rsid w:val="009641B8"/>
    <w:rsid w:val="009B76D7"/>
    <w:rsid w:val="009F5D19"/>
    <w:rsid w:val="009F684F"/>
    <w:rsid w:val="00A27A9F"/>
    <w:rsid w:val="00A3685D"/>
    <w:rsid w:val="00A55475"/>
    <w:rsid w:val="00A6011A"/>
    <w:rsid w:val="00AD6C5E"/>
    <w:rsid w:val="00AF5390"/>
    <w:rsid w:val="00B929C9"/>
    <w:rsid w:val="00BD04E6"/>
    <w:rsid w:val="00D07298"/>
    <w:rsid w:val="00DA1CE2"/>
    <w:rsid w:val="00E037CD"/>
    <w:rsid w:val="00E55E8D"/>
    <w:rsid w:val="00E8234D"/>
    <w:rsid w:val="00E92194"/>
    <w:rsid w:val="00EF33C2"/>
    <w:rsid w:val="00EF5BB9"/>
    <w:rsid w:val="00F07897"/>
    <w:rsid w:val="00F46728"/>
    <w:rsid w:val="00F570F1"/>
    <w:rsid w:val="00F6354E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47EA"/>
  <w15:chartTrackingRefBased/>
  <w15:docId w15:val="{0EF8B8BE-2895-48C3-BC19-C1E6027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B43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B43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igureCaptionChar">
    <w:name w:val="FigureCaption Char"/>
    <w:link w:val="FigureCaption"/>
    <w:locked/>
    <w:rsid w:val="005B434B"/>
    <w:rPr>
      <w:rFonts w:ascii="Linux Biolinum O" w:eastAsia="Cambria" w:hAnsi="Linux Biolinum O" w:cs="Linux Biolinum O"/>
      <w:sz w:val="16"/>
      <w:lang w:eastAsia="ja-JP"/>
    </w:rPr>
  </w:style>
  <w:style w:type="paragraph" w:customStyle="1" w:styleId="FigureCaption">
    <w:name w:val="FigureCaption"/>
    <w:link w:val="FigureCaptionChar"/>
    <w:autoRedefine/>
    <w:rsid w:val="005B434B"/>
    <w:pPr>
      <w:keepNext/>
      <w:spacing w:before="60" w:after="180" w:line="200" w:lineRule="atLeast"/>
      <w:jc w:val="center"/>
    </w:pPr>
    <w:rPr>
      <w:rFonts w:ascii="Linux Biolinum O" w:eastAsia="Cambria" w:hAnsi="Linux Biolinum O" w:cs="Linux Biolinum O"/>
      <w:sz w:val="16"/>
      <w:lang w:eastAsia="ja-JP"/>
    </w:rPr>
  </w:style>
  <w:style w:type="paragraph" w:customStyle="1" w:styleId="Image">
    <w:name w:val="Image"/>
    <w:basedOn w:val="a0"/>
    <w:rsid w:val="005B434B"/>
    <w:pPr>
      <w:keepNext/>
      <w:spacing w:after="200" w:line="225" w:lineRule="atLeast"/>
      <w:jc w:val="center"/>
    </w:pPr>
    <w:rPr>
      <w:rFonts w:ascii="Linux Libertine O" w:eastAsia="Cambria" w:hAnsi="Linux Libertine O" w:cs="Linux Libertine O"/>
      <w:sz w:val="18"/>
      <w:szCs w:val="24"/>
    </w:rPr>
  </w:style>
  <w:style w:type="paragraph" w:styleId="a">
    <w:name w:val="List Paragraph"/>
    <w:qFormat/>
    <w:rsid w:val="005B434B"/>
    <w:pPr>
      <w:numPr>
        <w:numId w:val="5"/>
      </w:numPr>
      <w:shd w:val="clear" w:color="auto" w:fill="FFFFFF"/>
      <w:tabs>
        <w:tab w:val="left" w:pos="480"/>
      </w:tabs>
      <w:spacing w:before="120" w:after="120" w:line="270" w:lineRule="atLeast"/>
      <w:contextualSpacing/>
      <w:jc w:val="both"/>
    </w:pPr>
    <w:rPr>
      <w:rFonts w:ascii="Linux Libertine O" w:eastAsia="Cambria" w:hAnsi="Linux Libertine O" w:cs="Linux Libertine O"/>
      <w:sz w:val="18"/>
      <w:szCs w:val="20"/>
    </w:rPr>
  </w:style>
  <w:style w:type="paragraph" w:customStyle="1" w:styleId="Head1">
    <w:name w:val="Head1"/>
    <w:basedOn w:val="1"/>
    <w:next w:val="Para"/>
    <w:qFormat/>
    <w:rsid w:val="005B434B"/>
    <w:pPr>
      <w:numPr>
        <w:numId w:val="14"/>
      </w:numPr>
      <w:tabs>
        <w:tab w:val="left" w:pos="240"/>
        <w:tab w:val="num" w:pos="360"/>
      </w:tabs>
      <w:spacing w:before="320" w:after="60" w:line="225" w:lineRule="atLeast"/>
    </w:pPr>
    <w:rPr>
      <w:rFonts w:ascii="Linux Biolinum O" w:eastAsia="Times New Roman" w:hAnsi="Linux Biolinum O" w:cs="Linux Biolinum O"/>
      <w:b/>
      <w:bCs/>
      <w:caps/>
      <w:color w:val="auto"/>
      <w:sz w:val="18"/>
      <w:szCs w:val="20"/>
    </w:rPr>
  </w:style>
  <w:style w:type="paragraph" w:customStyle="1" w:styleId="Head2">
    <w:name w:val="Head2"/>
    <w:basedOn w:val="2"/>
    <w:next w:val="Para"/>
    <w:qFormat/>
    <w:rsid w:val="005B434B"/>
    <w:pPr>
      <w:numPr>
        <w:ilvl w:val="1"/>
        <w:numId w:val="14"/>
      </w:numPr>
      <w:tabs>
        <w:tab w:val="num" w:pos="360"/>
      </w:tabs>
      <w:spacing w:before="240" w:after="60" w:line="225" w:lineRule="atLeast"/>
    </w:pPr>
    <w:rPr>
      <w:rFonts w:ascii="Linux Biolinum O" w:eastAsia="Times New Roman" w:hAnsi="Linux Biolinum O" w:cs="Linux Biolinum O"/>
      <w:b/>
      <w:bCs/>
      <w:color w:val="auto"/>
      <w:sz w:val="18"/>
      <w:szCs w:val="20"/>
    </w:rPr>
  </w:style>
  <w:style w:type="paragraph" w:customStyle="1" w:styleId="Head3old">
    <w:name w:val="Head3old"/>
    <w:next w:val="Para"/>
    <w:link w:val="Head3oldChar"/>
    <w:qFormat/>
    <w:rsid w:val="005B434B"/>
    <w:pPr>
      <w:keepNext/>
      <w:spacing w:before="240" w:after="60" w:line="225" w:lineRule="atLeast"/>
    </w:pPr>
    <w:rPr>
      <w:rFonts w:ascii="Linux Biolinum O" w:eastAsia="MS Mincho" w:hAnsi="Linux Biolinum O" w:cs="Linux Biolinum O"/>
      <w:b/>
      <w:i/>
      <w:sz w:val="18"/>
      <w:szCs w:val="20"/>
    </w:rPr>
  </w:style>
  <w:style w:type="paragraph" w:customStyle="1" w:styleId="Para">
    <w:name w:val="Para"/>
    <w:basedOn w:val="a0"/>
    <w:next w:val="ParaContinue"/>
    <w:rsid w:val="005B434B"/>
    <w:pPr>
      <w:spacing w:after="0" w:line="270" w:lineRule="atLeast"/>
      <w:ind w:firstLine="240"/>
      <w:jc w:val="both"/>
    </w:pPr>
    <w:rPr>
      <w:rFonts w:ascii="Linux Libertine O" w:eastAsia="Cambria" w:hAnsi="Linux Libertine O" w:cs="Linux Libertine O"/>
      <w:sz w:val="18"/>
      <w:szCs w:val="24"/>
      <w:lang w:eastAsia="ja-JP"/>
    </w:rPr>
  </w:style>
  <w:style w:type="character" w:styleId="a4">
    <w:name w:val="Hyperlink"/>
    <w:rsid w:val="005B434B"/>
    <w:rPr>
      <w:rFonts w:ascii="Linux Libertine O" w:hAnsi="Linux Libertine O" w:cs="Linux Libertine O" w:hint="default"/>
      <w:color w:val="0000FF"/>
      <w:u w:val="single"/>
    </w:rPr>
  </w:style>
  <w:style w:type="paragraph" w:styleId="a5">
    <w:name w:val="Subtitle"/>
    <w:basedOn w:val="a0"/>
    <w:next w:val="a0"/>
    <w:link w:val="a6"/>
    <w:qFormat/>
    <w:rsid w:val="005B434B"/>
    <w:pPr>
      <w:spacing w:after="360" w:line="333" w:lineRule="atLeast"/>
    </w:pPr>
    <w:rPr>
      <w:rFonts w:ascii="Linux Biolinum O" w:eastAsia="MS Gothic" w:hAnsi="Linux Biolinum O" w:cs="Linux Biolinum O"/>
      <w:iCs/>
      <w:sz w:val="18"/>
      <w:szCs w:val="24"/>
    </w:rPr>
  </w:style>
  <w:style w:type="character" w:customStyle="1" w:styleId="a6">
    <w:name w:val="副标题 字符"/>
    <w:basedOn w:val="a1"/>
    <w:link w:val="a5"/>
    <w:rsid w:val="005B434B"/>
    <w:rPr>
      <w:rFonts w:ascii="Linux Biolinum O" w:eastAsia="MS Gothic" w:hAnsi="Linux Biolinum O" w:cs="Linux Biolinum O"/>
      <w:iCs/>
      <w:sz w:val="18"/>
      <w:szCs w:val="24"/>
    </w:rPr>
  </w:style>
  <w:style w:type="paragraph" w:customStyle="1" w:styleId="Abstract">
    <w:name w:val="Abstract"/>
    <w:rsid w:val="005B434B"/>
    <w:pPr>
      <w:spacing w:before="200" w:after="0" w:line="240" w:lineRule="atLeast"/>
      <w:jc w:val="both"/>
    </w:pPr>
    <w:rPr>
      <w:rFonts w:ascii="Linux Libertine O" w:eastAsia="Cambria" w:hAnsi="Linux Libertine O" w:cs="Linux Libertine O"/>
      <w:sz w:val="16"/>
    </w:rPr>
  </w:style>
  <w:style w:type="paragraph" w:customStyle="1" w:styleId="Affiliation">
    <w:name w:val="Affiliation"/>
    <w:rsid w:val="005B434B"/>
    <w:pPr>
      <w:spacing w:before="60" w:after="0" w:line="297" w:lineRule="atLeast"/>
    </w:pPr>
    <w:rPr>
      <w:rFonts w:ascii="Linux Libertine O" w:eastAsia="Times New Roman" w:hAnsi="Linux Libertine O" w:cs="Linux Libertine O"/>
      <w:sz w:val="18"/>
      <w:szCs w:val="20"/>
    </w:rPr>
  </w:style>
  <w:style w:type="paragraph" w:customStyle="1" w:styleId="Titledocument">
    <w:name w:val="Title_document"/>
    <w:link w:val="TitledocumentChar"/>
    <w:rsid w:val="005B434B"/>
    <w:pPr>
      <w:spacing w:after="0" w:line="360" w:lineRule="atLeast"/>
    </w:pPr>
    <w:rPr>
      <w:rFonts w:ascii="Linux Biolinum O" w:eastAsia="Times New Roman" w:hAnsi="Linux Biolinum O" w:cs="Linux Biolinum O"/>
      <w:b/>
      <w:bCs/>
      <w:sz w:val="24"/>
      <w:szCs w:val="20"/>
    </w:rPr>
  </w:style>
  <w:style w:type="paragraph" w:customStyle="1" w:styleId="ACMRefHead">
    <w:name w:val="ACMRefHead"/>
    <w:basedOn w:val="Titledocument"/>
    <w:link w:val="ACMRefHeadChar"/>
    <w:rsid w:val="005B434B"/>
    <w:pPr>
      <w:spacing w:before="160" w:line="192" w:lineRule="atLeast"/>
      <w:jc w:val="both"/>
    </w:pPr>
    <w:rPr>
      <w:rFonts w:ascii="Linux Libertine O" w:hAnsi="Linux Libertine O" w:cs="Linux Libertine O"/>
      <w:sz w:val="16"/>
    </w:rPr>
  </w:style>
  <w:style w:type="character" w:customStyle="1" w:styleId="TitledocumentChar">
    <w:name w:val="Title_document Char"/>
    <w:basedOn w:val="a1"/>
    <w:link w:val="Titledocument"/>
    <w:rsid w:val="005B434B"/>
    <w:rPr>
      <w:rFonts w:ascii="Linux Biolinum O" w:eastAsia="Times New Roman" w:hAnsi="Linux Biolinum O" w:cs="Linux Biolinum O"/>
      <w:b/>
      <w:bCs/>
      <w:sz w:val="24"/>
      <w:szCs w:val="20"/>
    </w:rPr>
  </w:style>
  <w:style w:type="character" w:customStyle="1" w:styleId="AckHeadChar">
    <w:name w:val="AckHead Char"/>
    <w:link w:val="AckHead"/>
    <w:locked/>
    <w:rsid w:val="005B434B"/>
    <w:rPr>
      <w:rFonts w:ascii="Linux Biolinum O" w:eastAsia="Cambria" w:hAnsi="Linux Biolinum O" w:cs="Linux Biolinum O"/>
      <w:b/>
      <w:sz w:val="18"/>
      <w:lang w:eastAsia="ja-JP"/>
    </w:rPr>
  </w:style>
  <w:style w:type="paragraph" w:customStyle="1" w:styleId="AckHead">
    <w:name w:val="AckHead"/>
    <w:next w:val="AckPara"/>
    <w:link w:val="AckHeadChar"/>
    <w:rsid w:val="005B434B"/>
    <w:pPr>
      <w:keepNext/>
      <w:spacing w:before="240" w:after="60" w:line="225" w:lineRule="atLeast"/>
    </w:pPr>
    <w:rPr>
      <w:rFonts w:ascii="Linux Biolinum O" w:eastAsia="Cambria" w:hAnsi="Linux Biolinum O" w:cs="Linux Biolinum O"/>
      <w:b/>
      <w:sz w:val="18"/>
      <w:lang w:eastAsia="ja-JP"/>
    </w:rPr>
  </w:style>
  <w:style w:type="paragraph" w:customStyle="1" w:styleId="AckPara">
    <w:name w:val="AckPara"/>
    <w:basedOn w:val="a0"/>
    <w:next w:val="ParaContinue"/>
    <w:rsid w:val="005B434B"/>
    <w:pPr>
      <w:spacing w:after="0" w:line="270" w:lineRule="atLeast"/>
      <w:jc w:val="both"/>
    </w:pPr>
    <w:rPr>
      <w:rFonts w:ascii="Linux Libertine O" w:eastAsia="Cambria" w:hAnsi="Linux Libertine O" w:cs="Linux Libertine O"/>
      <w:sz w:val="18"/>
      <w:lang w:eastAsia="it-IT"/>
    </w:rPr>
  </w:style>
  <w:style w:type="paragraph" w:customStyle="1" w:styleId="AppendixH1">
    <w:name w:val="AppendixH1"/>
    <w:next w:val="Para"/>
    <w:rsid w:val="005B434B"/>
    <w:pPr>
      <w:keepNext/>
      <w:tabs>
        <w:tab w:val="left" w:pos="240"/>
      </w:tabs>
      <w:spacing w:before="320" w:after="60" w:line="225" w:lineRule="atLeast"/>
    </w:pPr>
    <w:rPr>
      <w:rFonts w:ascii="Linux Biolinum O" w:eastAsia="Times New Roman" w:hAnsi="Linux Biolinum O" w:cs="Linux Biolinum O"/>
      <w:b/>
      <w:caps/>
      <w:sz w:val="18"/>
      <w:szCs w:val="20"/>
    </w:rPr>
  </w:style>
  <w:style w:type="paragraph" w:customStyle="1" w:styleId="AppendixH2">
    <w:name w:val="AppendixH2"/>
    <w:next w:val="Para"/>
    <w:rsid w:val="005B434B"/>
    <w:pPr>
      <w:keepNext/>
      <w:autoSpaceDE w:val="0"/>
      <w:autoSpaceDN w:val="0"/>
      <w:adjustRightInd w:val="0"/>
      <w:spacing w:before="240" w:after="60" w:line="225" w:lineRule="atLeast"/>
    </w:pPr>
    <w:rPr>
      <w:rFonts w:ascii="Linux Biolinum O" w:eastAsia="Cambria" w:hAnsi="Linux Biolinum O" w:cs="Linux Biolinum O"/>
      <w:b/>
      <w:sz w:val="18"/>
      <w:szCs w:val="24"/>
    </w:rPr>
  </w:style>
  <w:style w:type="paragraph" w:customStyle="1" w:styleId="AppendixH3">
    <w:name w:val="AppendixH3"/>
    <w:next w:val="Para"/>
    <w:rsid w:val="005B434B"/>
    <w:pPr>
      <w:keepNext/>
      <w:autoSpaceDE w:val="0"/>
      <w:autoSpaceDN w:val="0"/>
      <w:adjustRightInd w:val="0"/>
      <w:spacing w:before="240" w:after="0" w:line="225" w:lineRule="atLeast"/>
    </w:pPr>
    <w:rPr>
      <w:rFonts w:ascii="Linux Biolinum O" w:eastAsia="Cambria" w:hAnsi="Linux Biolinum O" w:cs="Linux Biolinum O"/>
      <w:i/>
      <w:sz w:val="18"/>
      <w:szCs w:val="24"/>
    </w:rPr>
  </w:style>
  <w:style w:type="paragraph" w:customStyle="1" w:styleId="AuthNotes">
    <w:name w:val="AuthNotes"/>
    <w:rsid w:val="005B434B"/>
    <w:pPr>
      <w:spacing w:after="0" w:line="140" w:lineRule="atLeast"/>
      <w:jc w:val="both"/>
    </w:pPr>
    <w:rPr>
      <w:rFonts w:ascii="Linux Libertine O" w:eastAsia="Cambria" w:hAnsi="Linux Libertine O" w:cs="Linux Libertine O"/>
      <w:sz w:val="14"/>
    </w:rPr>
  </w:style>
  <w:style w:type="character" w:customStyle="1" w:styleId="AuthorsChar">
    <w:name w:val="Authors Char"/>
    <w:link w:val="Authors"/>
    <w:locked/>
    <w:rsid w:val="005B434B"/>
    <w:rPr>
      <w:rFonts w:ascii="Linux Biolinum O" w:eastAsia="Cambria" w:hAnsi="Linux Biolinum O" w:cs="Linux Biolinum O"/>
      <w:caps/>
      <w:lang w:eastAsia="ja-JP"/>
    </w:rPr>
  </w:style>
  <w:style w:type="paragraph" w:customStyle="1" w:styleId="Authors">
    <w:name w:val="Authors"/>
    <w:link w:val="AuthorsChar"/>
    <w:rsid w:val="005B434B"/>
    <w:pPr>
      <w:spacing w:before="60" w:after="0" w:line="320" w:lineRule="atLeast"/>
    </w:pPr>
    <w:rPr>
      <w:rFonts w:ascii="Linux Biolinum O" w:eastAsia="Cambria" w:hAnsi="Linux Biolinum O" w:cs="Linux Biolinum O"/>
      <w:caps/>
      <w:lang w:eastAsia="ja-JP"/>
    </w:rPr>
  </w:style>
  <w:style w:type="character" w:customStyle="1" w:styleId="DisplayFormulaChar">
    <w:name w:val="DisplayFormula Char"/>
    <w:link w:val="DisplayFormula"/>
    <w:locked/>
    <w:rsid w:val="005B434B"/>
    <w:rPr>
      <w:rFonts w:ascii="Linux Libertine O" w:eastAsia="Cambria" w:hAnsi="Linux Libertine O" w:cs="Linux Libertine O"/>
      <w:sz w:val="18"/>
      <w:lang w:eastAsia="ja-JP"/>
    </w:rPr>
  </w:style>
  <w:style w:type="paragraph" w:customStyle="1" w:styleId="DisplayFormula">
    <w:name w:val="DisplayFormula"/>
    <w:link w:val="DisplayFormulaChar"/>
    <w:rsid w:val="005B434B"/>
    <w:pPr>
      <w:spacing w:before="120" w:after="180" w:line="270" w:lineRule="atLeast"/>
      <w:jc w:val="center"/>
    </w:pPr>
    <w:rPr>
      <w:rFonts w:ascii="Linux Libertine O" w:eastAsia="Cambria" w:hAnsi="Linux Libertine O" w:cs="Linux Libertine O"/>
      <w:sz w:val="18"/>
      <w:lang w:eastAsia="ja-JP"/>
    </w:rPr>
  </w:style>
  <w:style w:type="paragraph" w:customStyle="1" w:styleId="KeyWordHead">
    <w:name w:val="KeyWordHead"/>
    <w:link w:val="KeyWordHeadchar"/>
    <w:rsid w:val="005B434B"/>
    <w:pPr>
      <w:spacing w:before="140" w:after="0" w:line="240" w:lineRule="atLeast"/>
    </w:pPr>
    <w:rPr>
      <w:rFonts w:ascii="Linux Libertine O" w:eastAsia="Cambria" w:hAnsi="Linux Libertine O" w:cs="Linux Libertine O"/>
      <w:sz w:val="16"/>
    </w:rPr>
  </w:style>
  <w:style w:type="paragraph" w:customStyle="1" w:styleId="KeyWords">
    <w:name w:val="KeyWords"/>
    <w:basedOn w:val="a0"/>
    <w:rsid w:val="005B434B"/>
    <w:pPr>
      <w:spacing w:before="140" w:after="0" w:line="270" w:lineRule="atLeast"/>
      <w:jc w:val="both"/>
    </w:pPr>
    <w:rPr>
      <w:rFonts w:ascii="Linux Libertine O" w:eastAsia="Cambria" w:hAnsi="Linux Libertine O" w:cs="Linux Libertine O"/>
      <w:sz w:val="18"/>
      <w:szCs w:val="24"/>
    </w:rPr>
  </w:style>
  <w:style w:type="paragraph" w:customStyle="1" w:styleId="ReferenceHead">
    <w:name w:val="ReferenceHead"/>
    <w:next w:val="AckPara"/>
    <w:rsid w:val="005B434B"/>
    <w:pPr>
      <w:keepNext/>
      <w:spacing w:before="300" w:after="60" w:line="225" w:lineRule="atLeast"/>
    </w:pPr>
    <w:rPr>
      <w:rFonts w:ascii="Linux Biolinum O" w:eastAsia="Cambria" w:hAnsi="Linux Biolinum O" w:cs="Linux Biolinum O"/>
      <w:b/>
      <w:sz w:val="18"/>
    </w:rPr>
  </w:style>
  <w:style w:type="paragraph" w:customStyle="1" w:styleId="Statements">
    <w:name w:val="Statements"/>
    <w:basedOn w:val="a0"/>
    <w:rsid w:val="005B434B"/>
    <w:pPr>
      <w:spacing w:before="120" w:after="120" w:line="225" w:lineRule="atLeast"/>
      <w:ind w:firstLine="240"/>
      <w:jc w:val="both"/>
    </w:pPr>
    <w:rPr>
      <w:rFonts w:ascii="Linux Libertine O" w:eastAsia="Cambria" w:hAnsi="Linux Libertine O" w:cs="Linux Libertine O"/>
      <w:i/>
      <w:sz w:val="18"/>
      <w:szCs w:val="24"/>
    </w:rPr>
  </w:style>
  <w:style w:type="character" w:customStyle="1" w:styleId="TableCaptionChar">
    <w:name w:val="TableCaption Char"/>
    <w:link w:val="TableCaption"/>
    <w:locked/>
    <w:rsid w:val="005B434B"/>
    <w:rPr>
      <w:rFonts w:ascii="Linux Biolinum O" w:eastAsia="Cambria" w:hAnsi="Linux Biolinum O" w:cs="Linux Biolinum O"/>
      <w:sz w:val="16"/>
      <w:szCs w:val="24"/>
      <w:lang w:eastAsia="ja-JP"/>
    </w:rPr>
  </w:style>
  <w:style w:type="paragraph" w:customStyle="1" w:styleId="TableCaption">
    <w:name w:val="TableCaption"/>
    <w:link w:val="TableCaptionChar"/>
    <w:autoRedefine/>
    <w:rsid w:val="005B434B"/>
    <w:pPr>
      <w:keepNext/>
      <w:spacing w:before="180" w:after="120" w:line="200" w:lineRule="atLeast"/>
      <w:jc w:val="center"/>
    </w:pPr>
    <w:rPr>
      <w:rFonts w:ascii="Linux Biolinum O" w:eastAsia="Cambria" w:hAnsi="Linux Biolinum O" w:cs="Linux Biolinum O"/>
      <w:sz w:val="16"/>
      <w:szCs w:val="24"/>
      <w:lang w:eastAsia="ja-JP"/>
    </w:rPr>
  </w:style>
  <w:style w:type="character" w:customStyle="1" w:styleId="ACMRefHeadChar">
    <w:name w:val="ACMRefHead Char"/>
    <w:basedOn w:val="TitledocumentChar"/>
    <w:link w:val="ACMRefHead"/>
    <w:rsid w:val="005B434B"/>
    <w:rPr>
      <w:rFonts w:ascii="Linux Libertine O" w:eastAsia="Times New Roman" w:hAnsi="Linux Libertine O" w:cs="Linux Libertine O"/>
      <w:b/>
      <w:bCs/>
      <w:sz w:val="16"/>
      <w:szCs w:val="20"/>
    </w:rPr>
  </w:style>
  <w:style w:type="character" w:customStyle="1" w:styleId="DisplayFormulaUnnumChar">
    <w:name w:val="DisplayFormulaUnnum Char"/>
    <w:link w:val="DisplayFormulaUnnum"/>
    <w:locked/>
    <w:rsid w:val="005B434B"/>
    <w:rPr>
      <w:rFonts w:ascii="Linux Libertine O" w:eastAsia="Cambria" w:hAnsi="Linux Libertine O" w:cs="Linux Libertine O"/>
      <w:sz w:val="18"/>
      <w:szCs w:val="24"/>
      <w:lang w:eastAsia="ja-JP"/>
    </w:rPr>
  </w:style>
  <w:style w:type="paragraph" w:customStyle="1" w:styleId="DisplayFormulaUnnum">
    <w:name w:val="DisplayFormulaUnnum"/>
    <w:basedOn w:val="a0"/>
    <w:link w:val="DisplayFormulaUnnumChar"/>
    <w:rsid w:val="005B434B"/>
    <w:pPr>
      <w:spacing w:before="120" w:after="180" w:line="270" w:lineRule="atLeast"/>
      <w:jc w:val="center"/>
    </w:pPr>
    <w:rPr>
      <w:rFonts w:ascii="Linux Libertine O" w:eastAsia="Cambria" w:hAnsi="Linux Libertine O" w:cs="Linux Libertine O"/>
      <w:sz w:val="18"/>
      <w:szCs w:val="24"/>
      <w:lang w:eastAsia="ja-JP"/>
    </w:rPr>
  </w:style>
  <w:style w:type="character" w:customStyle="1" w:styleId="ParaContinueChar">
    <w:name w:val="ParaContinue Char"/>
    <w:link w:val="ParaContinue"/>
    <w:locked/>
    <w:rsid w:val="005B434B"/>
    <w:rPr>
      <w:rFonts w:ascii="Linux Libertine O" w:hAnsi="Linux Libertine O" w:cs="Linux Libertine O"/>
      <w:sz w:val="18"/>
      <w:szCs w:val="24"/>
      <w:lang w:eastAsia="ja-JP"/>
    </w:rPr>
  </w:style>
  <w:style w:type="paragraph" w:customStyle="1" w:styleId="ParaContinue">
    <w:name w:val="ParaContinue"/>
    <w:basedOn w:val="a0"/>
    <w:link w:val="ParaContinueChar"/>
    <w:rsid w:val="005B434B"/>
    <w:pPr>
      <w:spacing w:after="0" w:line="270" w:lineRule="atLeast"/>
      <w:ind w:firstLine="240"/>
      <w:jc w:val="both"/>
    </w:pPr>
    <w:rPr>
      <w:rFonts w:ascii="Linux Libertine O" w:hAnsi="Linux Libertine O" w:cs="Linux Libertine O"/>
      <w:sz w:val="18"/>
      <w:szCs w:val="24"/>
      <w:lang w:eastAsia="ja-JP"/>
    </w:rPr>
  </w:style>
  <w:style w:type="paragraph" w:customStyle="1" w:styleId="Bibentry">
    <w:name w:val="Bib_entry"/>
    <w:basedOn w:val="a0"/>
    <w:rsid w:val="005B434B"/>
    <w:pPr>
      <w:widowControl w:val="0"/>
      <w:numPr>
        <w:numId w:val="3"/>
      </w:numPr>
      <w:spacing w:after="60" w:line="168" w:lineRule="atLeast"/>
      <w:jc w:val="both"/>
    </w:pPr>
    <w:rPr>
      <w:rFonts w:ascii="Linux Libertine O" w:eastAsia="Cambria" w:hAnsi="Linux Libertine O" w:cs="Linux Libertine O"/>
      <w:sz w:val="14"/>
      <w:lang w:eastAsia="ja-JP"/>
    </w:rPr>
  </w:style>
  <w:style w:type="paragraph" w:customStyle="1" w:styleId="Algorithm">
    <w:name w:val="Algorithm"/>
    <w:basedOn w:val="a0"/>
    <w:rsid w:val="005B434B"/>
    <w:pPr>
      <w:pBdr>
        <w:bottom w:val="single" w:sz="4" w:space="3" w:color="auto"/>
      </w:pBdr>
      <w:spacing w:after="60" w:line="216" w:lineRule="atLeast"/>
    </w:pPr>
    <w:rPr>
      <w:rFonts w:ascii="InconsolataN" w:eastAsia="Cambria" w:hAnsi="InconsolataN" w:cs="Linux Biolinum O"/>
      <w:sz w:val="18"/>
      <w:szCs w:val="24"/>
    </w:rPr>
  </w:style>
  <w:style w:type="paragraph" w:customStyle="1" w:styleId="Extract">
    <w:name w:val="Extract"/>
    <w:basedOn w:val="a0"/>
    <w:rsid w:val="005B434B"/>
    <w:pPr>
      <w:spacing w:before="120" w:after="180" w:line="270" w:lineRule="atLeast"/>
      <w:ind w:left="360" w:right="360"/>
      <w:contextualSpacing/>
      <w:jc w:val="both"/>
    </w:pPr>
    <w:rPr>
      <w:rFonts w:ascii="Linux Libertine O" w:eastAsia="Times New Roman" w:hAnsi="Linux Libertine O" w:cs="Linux Libertine O"/>
      <w:sz w:val="18"/>
      <w:szCs w:val="20"/>
    </w:rPr>
  </w:style>
  <w:style w:type="paragraph" w:customStyle="1" w:styleId="CCSHead">
    <w:name w:val="CCSHead"/>
    <w:basedOn w:val="KeyWordHead"/>
    <w:link w:val="CCSHeadchar"/>
    <w:rsid w:val="005B434B"/>
    <w:pPr>
      <w:jc w:val="both"/>
    </w:pPr>
    <w:rPr>
      <w:b/>
    </w:rPr>
  </w:style>
  <w:style w:type="paragraph" w:customStyle="1" w:styleId="CCSDescription">
    <w:name w:val="CCSDescription"/>
    <w:basedOn w:val="KeyWords"/>
    <w:rsid w:val="005B434B"/>
    <w:rPr>
      <w:b/>
    </w:rPr>
  </w:style>
  <w:style w:type="paragraph" w:customStyle="1" w:styleId="AlgorithmCaption">
    <w:name w:val="AlgorithmCaption"/>
    <w:basedOn w:val="a0"/>
    <w:rsid w:val="005B434B"/>
    <w:pPr>
      <w:keepNext/>
      <w:pBdr>
        <w:top w:val="single" w:sz="4" w:space="2" w:color="auto"/>
        <w:bottom w:val="single" w:sz="4" w:space="2" w:color="auto"/>
      </w:pBdr>
      <w:spacing w:before="300" w:after="120" w:line="200" w:lineRule="atLeast"/>
      <w:jc w:val="center"/>
    </w:pPr>
    <w:rPr>
      <w:rFonts w:ascii="Linux Biolinum O" w:eastAsia="Cambria" w:hAnsi="Linux Biolinum O" w:cs="Linux Biolinum O"/>
      <w:sz w:val="16"/>
      <w:szCs w:val="24"/>
    </w:rPr>
  </w:style>
  <w:style w:type="character" w:customStyle="1" w:styleId="GrantNumber">
    <w:name w:val="GrantNumber"/>
    <w:rsid w:val="005B434B"/>
    <w:rPr>
      <w:rFonts w:ascii="Linux Libertine O" w:hAnsi="Linux Libertine O" w:cs="Linux Libertine O" w:hint="default"/>
      <w:color w:val="9900FF"/>
    </w:rPr>
  </w:style>
  <w:style w:type="paragraph" w:styleId="a7">
    <w:name w:val="footer"/>
    <w:basedOn w:val="a0"/>
    <w:link w:val="a8"/>
    <w:uiPriority w:val="99"/>
    <w:unhideWhenUsed/>
    <w:rsid w:val="005B434B"/>
    <w:pPr>
      <w:tabs>
        <w:tab w:val="center" w:pos="4320"/>
        <w:tab w:val="right" w:pos="8640"/>
      </w:tabs>
      <w:spacing w:after="0" w:line="240" w:lineRule="auto"/>
    </w:pPr>
    <w:rPr>
      <w:rFonts w:ascii="Linux Libertine O" w:eastAsia="MS Mincho" w:hAnsi="Linux Libertine O" w:cs="Linux Libertine O"/>
      <w:sz w:val="18"/>
      <w:szCs w:val="24"/>
      <w:lang w:eastAsia="ja-JP"/>
    </w:rPr>
  </w:style>
  <w:style w:type="character" w:customStyle="1" w:styleId="a8">
    <w:name w:val="页脚 字符"/>
    <w:basedOn w:val="a1"/>
    <w:link w:val="a7"/>
    <w:uiPriority w:val="99"/>
    <w:rsid w:val="005B434B"/>
    <w:rPr>
      <w:rFonts w:ascii="Linux Libertine O" w:eastAsia="MS Mincho" w:hAnsi="Linux Libertine O" w:cs="Linux Libertine O"/>
      <w:sz w:val="18"/>
      <w:szCs w:val="24"/>
      <w:lang w:eastAsia="ja-JP"/>
    </w:rPr>
  </w:style>
  <w:style w:type="numbering" w:styleId="111111">
    <w:name w:val="Outline List 2"/>
    <w:basedOn w:val="a3"/>
    <w:uiPriority w:val="99"/>
    <w:semiHidden/>
    <w:unhideWhenUsed/>
    <w:rsid w:val="005B434B"/>
    <w:pPr>
      <w:numPr>
        <w:numId w:val="2"/>
      </w:numPr>
    </w:pPr>
  </w:style>
  <w:style w:type="table" w:styleId="a9">
    <w:name w:val="Table Grid"/>
    <w:basedOn w:val="a2"/>
    <w:rsid w:val="005B434B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MRef">
    <w:name w:val="ACMRef"/>
    <w:basedOn w:val="Titledocument"/>
    <w:link w:val="ACMRefChar"/>
    <w:rsid w:val="005B434B"/>
    <w:pPr>
      <w:spacing w:before="20" w:line="240" w:lineRule="atLeast"/>
      <w:jc w:val="both"/>
    </w:pPr>
    <w:rPr>
      <w:rFonts w:ascii="Linux Libertine O" w:hAnsi="Linux Libertine O" w:cs="Linux Libertine O"/>
      <w:b w:val="0"/>
      <w:sz w:val="16"/>
    </w:rPr>
  </w:style>
  <w:style w:type="character" w:customStyle="1" w:styleId="ACMRefChar">
    <w:name w:val="ACMRef Char"/>
    <w:basedOn w:val="TitledocumentChar"/>
    <w:link w:val="ACMRef"/>
    <w:rsid w:val="005B434B"/>
    <w:rPr>
      <w:rFonts w:ascii="Linux Libertine O" w:eastAsia="Times New Roman" w:hAnsi="Linux Libertine O" w:cs="Linux Libertine O"/>
      <w:b w:val="0"/>
      <w:bCs/>
      <w:sz w:val="16"/>
      <w:szCs w:val="20"/>
    </w:rPr>
  </w:style>
  <w:style w:type="character" w:customStyle="1" w:styleId="CCSHeadchar">
    <w:name w:val="CCSHead char"/>
    <w:basedOn w:val="a1"/>
    <w:link w:val="CCSHead"/>
    <w:rsid w:val="005B434B"/>
    <w:rPr>
      <w:rFonts w:ascii="Linux Libertine O" w:eastAsia="Cambria" w:hAnsi="Linux Libertine O" w:cs="Linux Libertine O"/>
      <w:b/>
      <w:sz w:val="16"/>
    </w:rPr>
  </w:style>
  <w:style w:type="character" w:customStyle="1" w:styleId="KeyWordHeadchar">
    <w:name w:val="KeyWordHead char"/>
    <w:basedOn w:val="a1"/>
    <w:link w:val="KeyWordHead"/>
    <w:rsid w:val="005B434B"/>
    <w:rPr>
      <w:rFonts w:ascii="Linux Libertine O" w:eastAsia="Cambria" w:hAnsi="Linux Libertine O" w:cs="Linux Libertine O"/>
      <w:sz w:val="16"/>
    </w:rPr>
  </w:style>
  <w:style w:type="paragraph" w:customStyle="1" w:styleId="TableCell">
    <w:name w:val="TableCell"/>
    <w:basedOn w:val="Para"/>
    <w:rsid w:val="005B434B"/>
    <w:pPr>
      <w:spacing w:line="220" w:lineRule="atLeast"/>
    </w:pPr>
    <w:rPr>
      <w:sz w:val="16"/>
      <w:szCs w:val="16"/>
      <w:lang w:eastAsia="en-US"/>
    </w:rPr>
  </w:style>
  <w:style w:type="character" w:customStyle="1" w:styleId="Head3oldChar">
    <w:name w:val="Head3old Char"/>
    <w:basedOn w:val="a1"/>
    <w:link w:val="Head3old"/>
    <w:rsid w:val="005B434B"/>
    <w:rPr>
      <w:rFonts w:ascii="Linux Biolinum O" w:eastAsia="MS Mincho" w:hAnsi="Linux Biolinum O" w:cs="Linux Biolinum O"/>
      <w:b/>
      <w:i/>
      <w:sz w:val="18"/>
      <w:szCs w:val="20"/>
    </w:rPr>
  </w:style>
  <w:style w:type="paragraph" w:customStyle="1" w:styleId="Head3">
    <w:name w:val="Head3"/>
    <w:basedOn w:val="Titledocument"/>
    <w:next w:val="Para"/>
    <w:link w:val="Head3Char"/>
    <w:qFormat/>
    <w:rsid w:val="005B434B"/>
    <w:pPr>
      <w:keepNext/>
      <w:numPr>
        <w:ilvl w:val="2"/>
        <w:numId w:val="14"/>
      </w:numPr>
      <w:tabs>
        <w:tab w:val="left" w:pos="540"/>
      </w:tabs>
      <w:overflowPunct w:val="0"/>
      <w:spacing w:before="240" w:after="60" w:line="225" w:lineRule="atLeast"/>
      <w:jc w:val="both"/>
      <w:outlineLvl w:val="2"/>
    </w:pPr>
    <w:rPr>
      <w:b w:val="0"/>
      <w:i/>
      <w:sz w:val="18"/>
    </w:rPr>
  </w:style>
  <w:style w:type="character" w:customStyle="1" w:styleId="Parachar">
    <w:name w:val="Para char"/>
    <w:basedOn w:val="a1"/>
    <w:rsid w:val="005B434B"/>
    <w:rPr>
      <w:rFonts w:ascii="Linux Libertine O" w:hAnsi="Linux Libertine O" w:cs="Linux Libertine O"/>
      <w:b w:val="0"/>
      <w:i/>
      <w:sz w:val="18"/>
      <w:lang w:eastAsia="ja-JP"/>
    </w:rPr>
  </w:style>
  <w:style w:type="character" w:customStyle="1" w:styleId="Head3Char">
    <w:name w:val="Head3 Char"/>
    <w:basedOn w:val="TitledocumentChar"/>
    <w:link w:val="Head3"/>
    <w:rsid w:val="005B434B"/>
    <w:rPr>
      <w:rFonts w:ascii="Linux Biolinum O" w:eastAsia="Times New Roman" w:hAnsi="Linux Biolinum O" w:cs="Linux Biolinum O"/>
      <w:b w:val="0"/>
      <w:bCs/>
      <w:i/>
      <w:sz w:val="18"/>
      <w:szCs w:val="20"/>
    </w:rPr>
  </w:style>
  <w:style w:type="character" w:customStyle="1" w:styleId="GrantSponsor">
    <w:name w:val="GrantSponsor"/>
    <w:rsid w:val="005B434B"/>
    <w:rPr>
      <w:rFonts w:ascii="Linux Libertine O" w:hAnsi="Linux Libertine O" w:cs="Linux Libertine O" w:hint="default"/>
      <w:color w:val="666699"/>
    </w:rPr>
  </w:style>
  <w:style w:type="paragraph" w:customStyle="1" w:styleId="PostHeadPara">
    <w:name w:val="PostHeadPara"/>
    <w:basedOn w:val="Para"/>
    <w:qFormat/>
    <w:rsid w:val="005B434B"/>
    <w:pPr>
      <w:ind w:firstLine="0"/>
    </w:pPr>
    <w:rPr>
      <w:lang w:eastAsia="en-US"/>
    </w:rPr>
  </w:style>
  <w:style w:type="character" w:customStyle="1" w:styleId="10">
    <w:name w:val="标题 1 字符"/>
    <w:basedOn w:val="a1"/>
    <w:link w:val="1"/>
    <w:uiPriority w:val="9"/>
    <w:rsid w:val="005B43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5B43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n-textcode">
    <w:name w:val="In-text code"/>
    <w:basedOn w:val="a1"/>
    <w:uiPriority w:val="1"/>
    <w:qFormat/>
    <w:rsid w:val="003A253B"/>
    <w:rPr>
      <w:rFonts w:ascii="Courier New" w:hAnsi="Courier New"/>
    </w:rPr>
  </w:style>
  <w:style w:type="paragraph" w:customStyle="1" w:styleId="ShortTitle">
    <w:name w:val="Short Title"/>
    <w:basedOn w:val="Titledocument"/>
    <w:qFormat/>
    <w:rsid w:val="000F4E3C"/>
    <w:rPr>
      <w:rFonts w:ascii="Linux Libertine" w:hAnsi="Linux Libertine"/>
      <w:b w:val="0"/>
      <w:sz w:val="20"/>
    </w:rPr>
  </w:style>
  <w:style w:type="paragraph" w:customStyle="1" w:styleId="ComputerCode">
    <w:name w:val="ComputerCode"/>
    <w:basedOn w:val="a0"/>
    <w:qFormat/>
    <w:rsid w:val="00A6011A"/>
    <w:pPr>
      <w:spacing w:before="60" w:after="60" w:line="360" w:lineRule="auto"/>
      <w:jc w:val="both"/>
    </w:pPr>
    <w:rPr>
      <w:rFonts w:ascii="Courier New" w:hAnsi="Courier New" w:cs="Linux Libertine"/>
      <w:sz w:val="16"/>
      <w14:ligatures w14:val="standard"/>
    </w:rPr>
  </w:style>
  <w:style w:type="paragraph" w:customStyle="1" w:styleId="Head4">
    <w:name w:val="Head4"/>
    <w:autoRedefine/>
    <w:qFormat/>
    <w:rsid w:val="00A6011A"/>
    <w:pPr>
      <w:keepNext/>
      <w:numPr>
        <w:ilvl w:val="3"/>
        <w:numId w:val="14"/>
      </w:numPr>
      <w:spacing w:before="60" w:after="140" w:line="240" w:lineRule="auto"/>
    </w:pPr>
    <w:rPr>
      <w:rFonts w:ascii="Linux Biolinum" w:eastAsia="Times New Roman" w:hAnsi="Linux Biolinum" w:cs="Linux Biolinum"/>
      <w:i/>
      <w:sz w:val="24"/>
      <w:szCs w:val="20"/>
    </w:rPr>
  </w:style>
  <w:style w:type="character" w:customStyle="1" w:styleId="TableFootnoteChar">
    <w:name w:val="TableFootnote Char"/>
    <w:link w:val="TableFootnote"/>
    <w:locked/>
    <w:rsid w:val="005C3913"/>
    <w:rPr>
      <w:rFonts w:eastAsia="Cambria"/>
    </w:rPr>
  </w:style>
  <w:style w:type="paragraph" w:customStyle="1" w:styleId="TableFootnote">
    <w:name w:val="TableFootnote"/>
    <w:basedOn w:val="a0"/>
    <w:link w:val="TableFootnoteChar"/>
    <w:rsid w:val="005C3913"/>
    <w:pPr>
      <w:spacing w:after="200" w:line="240" w:lineRule="auto"/>
    </w:pPr>
    <w:rPr>
      <w:rFonts w:eastAsia="Cambria"/>
    </w:rPr>
  </w:style>
  <w:style w:type="paragraph" w:styleId="aa">
    <w:name w:val="header"/>
    <w:basedOn w:val="a0"/>
    <w:link w:val="ab"/>
    <w:uiPriority w:val="99"/>
    <w:unhideWhenUsed/>
    <w:rsid w:val="006E1D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6E1D11"/>
    <w:rPr>
      <w:sz w:val="18"/>
      <w:szCs w:val="18"/>
    </w:rPr>
  </w:style>
  <w:style w:type="paragraph" w:customStyle="1" w:styleId="Paper-Title">
    <w:name w:val="Paper-Title"/>
    <w:basedOn w:val="a0"/>
    <w:rsid w:val="009F5D19"/>
    <w:pPr>
      <w:spacing w:after="120" w:line="240" w:lineRule="auto"/>
      <w:jc w:val="center"/>
    </w:pPr>
    <w:rPr>
      <w:rFonts w:ascii="Helvetica" w:hAnsi="Helvetica" w:cs="Times New Roman"/>
      <w:b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dl.acm.org/ccs/ccs.cfm?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://www.iesl.cs.umass.edu/data/data-umasscitationfield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tug.org/instmem.html" TargetMode="External"/><Relationship Id="rId7" Type="http://schemas.openxmlformats.org/officeDocument/2006/relationships/hyperlink" Target="http://www.acm.org/publications/class-2012" TargetMode="External"/><Relationship Id="rId12" Type="http://schemas.openxmlformats.org/officeDocument/2006/relationships/hyperlink" Target="https://commons.wikimedia.org/wiki/File:TuringBombeBletchleyPark.jpg" TargetMode="External"/><Relationship Id="rId17" Type="http://schemas.openxmlformats.org/officeDocument/2006/relationships/hyperlink" Target="https://www.acm.org/accessibility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doi.org/10.1145/567446.56744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hyperlink" Target="http://tinyurl.com/lzny75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s://doi.org/10.1145/567752.567774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doi.org/10.1007/3-540-09237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ccs/ccs.cfm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s://doi.org/10.1145/1188913.1188915" TargetMode="External"/><Relationship Id="rId27" Type="http://schemas.openxmlformats.org/officeDocument/2006/relationships/fontTable" Target="fontTable.xml"/><Relationship Id="rId2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14</Pages>
  <Words>5170</Words>
  <Characters>29471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Edit 6.0</dc:creator>
  <cp:keywords/>
  <dc:description/>
  <cp:lastModifiedBy>微软用户</cp:lastModifiedBy>
  <cp:revision>28</cp:revision>
  <dcterms:created xsi:type="dcterms:W3CDTF">2020-08-18T11:08:00Z</dcterms:created>
  <dcterms:modified xsi:type="dcterms:W3CDTF">2020-11-26T02:49:00Z</dcterms:modified>
</cp:coreProperties>
</file>