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[placeholder—Figure 1 to be inserted after final screening counts are verified]. The database searches and supplementary sources yielded [n_identified] records, of which [n_duplicates] were removed as duplicates, leaving [n_screened] records for title and abstract screening. Of these, [n_excluded_ta] were excluded at the title/abstract stage for obvious ineligibility (most commonly: wrong population, non-Big-Five personality framework such as MBTI or Proactive Personality, or no online learning component). Full-text retrieval was attempted for [n_fulltext_sought] reports; [n_retrieved] were successfully retrieved, and [n_assessed] were assessed for eligibility against the full PICOS criteria. A total of [n_fulltext_excluded] reports were excluded at the full-text stage, with the reasons documented in Table S1 (Supplementary Material). [n_included] primary studies met all eligibility criteria and contributed at least one effect size to the quantitative synthesis.</w:t>
      </w:r>
    </w:p>
    <w:p>
      <w:pPr>
        <w:spacing w:line="480" w:lineRule="auto" w:before="0" w:after="0"/>
        <w:ind w:firstLine="720"/>
      </w:pPr>
      <w:r>
        <w:rPr>
          <w:rFonts w:ascii="Times New Roman" w:hAnsi="Times New Roman" w:eastAsia="Times New Roman"/>
          <w:sz w:val="24"/>
        </w:rPr>
        <w:t>Intra-rater reliability for title/abstract screening, estimated on a randomly selected 10% subsample re-screened after a wash-out interval of at least seven days, was Cohen's κ = [κ_TA], which [met / did not meet] the pre-specified threshold of κ ≥ 0.80. Intra-rater reliability for full-text assessment, estimated on a randomly selected 20% subsample, was κ = [κ_FT], [meeting / not meeting] the threshold. [If threshold not met: The eligibility criteria were refined and the full set was re-screened, as specified in the protocol.]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[n_included] included primary studies are presented in Table 1 [placeholder]. The included studies were published between [year_min] and [year_max], with a marked acceleration during the COVID-19 pandemic era. Analytic sample sizes ranged from [N_min] to [N_max] (median = [N_median], total pooled N = [N_total]). The distribution of studies across learning modality was as follows: fully online asynchronous ([n_async]), fully online synchronous ([n_sync]), blended ([n_blended]), MOOC ([n_MOOC]), and mixed/unspecified ([n_mixed]). Education levels comprised K-12 ([n_K12]), undergraduate ([n_UG]), graduate ([n_grad]), adult learner ([n_adult]), and mixed ([n_mixed_edu]). Regional distribution: Asia ([n_asia]), Europe ([n_europe]), North America ([n_NA]), and Other ([n_other]).</w:t>
      </w:r>
    </w:p>
    <w:p>
      <w:pPr>
        <w:spacing w:line="480" w:lineRule="auto" w:before="0" w:after="0"/>
        <w:ind w:firstLine="720"/>
      </w:pPr>
      <w:r>
        <w:rPr>
          <w:rFonts w:ascii="Times New Roman" w:hAnsi="Times New Roman" w:eastAsia="Times New Roman"/>
          <w:sz w:val="24"/>
        </w:rPr>
        <w:t>Personality measurement instruments used across the included studies included the Big Five Inventory (BFI, BFI-2, BFI-S; [n_BFI] studies), the NEO Personality Inventory family (NEO-FFI, NEO-PI-R; [n_NEO] studies), the International Personality Item Pool (IPIP, Mini-IPIP; [n_IPIP] studies), the HEXACO Personality Inventory ([n_HEXACO] studies), the Ten-Item Personality Inventory (TIPI, TIPI-J; [n_TIPI] studies), and other validated Big Five–aligned scales ([n_other_inst] studies). Academic achievement outcomes were operationalized as grade point average ([n_GPA] studies), course grade ([n_CG] studies), standardized exam score ([n_exam] studies), or composite performance indicator ([n_composite] studies).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included studies was [mean_RoB] (SD = [sd_RoB], range = [min_RoB]–[max_RoB]). [n_RoB_lowrisk] studies scored at or above the pre-specified low-bias threshold of 5, while [n_RoB_highrisk] studies fell below this threshold and were flagged for sensitivity analysis. Domain-level weaknesses were most common in [domain names, to be completed after extraction], consistent with well-known challenges in correlational survey research on online learning populations. Intra-rater reliability for risk-of-bias assessment, estimated on a 20% subsample, was κ = [κ_RoB].</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