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Royal Society Open Science</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Personality Interventions Don't Work; Structural Ones Do: Counterfactual Evidence from a HEXACO 7-Typology Workplace Harassment Microsimulation in Japan, for consideration as a Stage 2 Registered Report at Royal Society Open Science.</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Royal Society Open Science</w:t>
      </w:r>
    </w:p>
    <w:p>
      <w:pPr>
        <w:spacing w:line="276" w:lineRule="auto" w:after="120"/>
      </w:pPr>
      <w:r>
        <w:rPr>
          <w:rFonts w:ascii="Times New Roman" w:hAnsi="Times New Roman" w:eastAsia="Times New Roman"/>
          <w:sz w:val="24"/>
        </w:rPr>
        <w:t>RSOS is uniquely well-positioned to evaluate this submission for three reasons:</w:t>
      </w:r>
    </w:p>
    <w:p>
      <w:pPr>
        <w:spacing w:line="276" w:lineRule="auto" w:after="60"/>
        <w:ind w:left="360"/>
      </w:pPr>
      <w:r>
        <w:rPr>
          <w:rFonts w:ascii="Times New Roman" w:hAnsi="Times New Roman" w:eastAsia="Times New Roman"/>
          <w:sz w:val="24"/>
        </w:rPr>
        <w:t>• Methodological breadth across disciplines — the manuscript combines target-trial emulation (Hernán &amp; Robins, 2016, 2020), counterfactual microsimulation (Spielauer, 2011; Rutter et al., 2011), the Berger &amp; Hsu (1996) intersection-union test, BCa bootstrap (Efron, 1987), and HEXACO personality typology (Ashton &amp; Lee, 2007). RSOS regularly publishes cross-disciplinary methodological contributions of this scope.</w:t>
      </w:r>
    </w:p>
    <w:p>
      <w:pPr>
        <w:spacing w:line="276" w:lineRule="auto" w:after="60"/>
        <w:ind w:left="360"/>
      </w:pPr>
      <w:r>
        <w:rPr>
          <w:rFonts w:ascii="Times New Roman" w:hAnsi="Times New Roman" w:eastAsia="Times New Roman"/>
          <w:sz w:val="24"/>
        </w:rPr>
        <w:t>• Rigorous Stage 2 Registered Report tradition — RSOS's RR program, with its emphasis on Stage 1 protocol scrutiny followed by Stage 2 implementation fidelity audit, matches the layered pre-registration architecture (v1.1 → v2.0 master + Methods Clarifications Log v1.0) we have prepared.</w:t>
      </w:r>
    </w:p>
    <w:p>
      <w:pPr>
        <w:spacing w:line="276" w:lineRule="auto" w:after="60"/>
        <w:ind w:left="360"/>
      </w:pPr>
      <w:r>
        <w:rPr>
          <w:rFonts w:ascii="Times New Roman" w:hAnsi="Times New Roman" w:eastAsia="Times New Roman"/>
          <w:sz w:val="24"/>
        </w:rPr>
        <w:t>• High-visibility venue for counterintuitive structural-vs-individual findings — the headline conclusion (structural intervention dominates personality intervention by ~5.7× under realistic effect-size assumptions) is policy-relevant and benefits from RSOS's broad readership.</w:t>
      </w:r>
    </w:p>
    <w:p>
      <w:pPr>
        <w:spacing w:line="276" w:lineRule="auto" w:after="120"/>
      </w:pPr>
      <w:r>
        <w:rPr>
          <w:rFonts w:ascii="Times New Roman" w:hAnsi="Times New Roman" w:eastAsia="Times New Roman"/>
          <w:sz w:val="24"/>
        </w:rPr>
        <w:t>The strong "Don't Work" framing in the title is empirical: ΔP_A's 95% CI ([−0.0207, +0.0062]) crosses zero, so the personality intervention is statistically null. We acknowledge this framing's rhetorical force in the manuscript and explicitly hedge with the reduced-form caveat (see Limitations, item 1).</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Royal Society Open Science guidelines, the following authors of methods or substantive works cited in the manuscript have publicly demonstrated expertise relevant to this manuscript and have no known conflict of interest with the author:</w:t>
      </w:r>
    </w:p>
    <w:p>
      <w:pPr>
        <w:spacing w:line="276" w:lineRule="auto" w:after="60"/>
        <w:ind w:left="360"/>
      </w:pPr>
      <w:r>
        <w:rPr>
          <w:rFonts w:ascii="Times New Roman" w:hAnsi="Times New Roman" w:eastAsia="Times New Roman"/>
          <w:sz w:val="24"/>
        </w:rPr>
        <w:t>• Miguel A. Hernán (Harvard T.H. Chan School of Public Health, USA) — co-author of Hernán &amp; Robins (2016, 2020) on target-trial emulation; the framework operationalized in our Stage 6 / Stage 7 counterfactuals.</w:t>
      </w:r>
    </w:p>
    <w:p>
      <w:pPr>
        <w:spacing w:line="276" w:lineRule="auto" w:after="60"/>
        <w:ind w:left="360"/>
      </w:pPr>
      <w:r>
        <w:rPr>
          <w:rFonts w:ascii="Times New Roman" w:hAnsi="Times New Roman" w:eastAsia="Times New Roman"/>
          <w:sz w:val="24"/>
        </w:rPr>
        <w:t>• James M. Robins (Harvard T.H. Chan School of Public Health, USA) — co-author of Hernán &amp; Robins (2016, 2020); foundational counterfactual-inference theorist whose do-operator semantics underpin all three counterfactuals.</w:t>
      </w:r>
    </w:p>
    <w:p>
      <w:pPr>
        <w:spacing w:line="276" w:lineRule="auto" w:after="60"/>
        <w:ind w:left="360"/>
      </w:pPr>
      <w:r>
        <w:rPr>
          <w:rFonts w:ascii="Times New Roman" w:hAnsi="Times New Roman" w:eastAsia="Times New Roman"/>
          <w:sz w:val="24"/>
        </w:rPr>
        <w:t>• M. Elizabeth Halloran (Fred Hutchinson Cancer Center, USA) — co-author of Hudgens &amp; Halloran (2008) on causal inference under interference, cited for our SUTVA discussion (m6 clarification).</w:t>
      </w:r>
    </w:p>
    <w:p>
      <w:pPr>
        <w:spacing w:line="276" w:lineRule="auto" w:after="60"/>
        <w:ind w:left="360"/>
      </w:pPr>
      <w:r>
        <w:rPr>
          <w:rFonts w:ascii="Times New Roman" w:hAnsi="Times New Roman" w:eastAsia="Times New Roman"/>
          <w:sz w:val="24"/>
        </w:rPr>
        <w:t>• Joon Sung Park (Stanford University, USA) — first author of Park et al. (2023) UIST on generative agents; relevant to our pre-flagged Phase 2 agent-based extension.</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cross-cultural meta-analysis used as the F = 0.5 attenuation anchor.</w:t>
      </w:r>
    </w:p>
    <w:p>
      <w:pPr>
        <w:spacing w:line="276" w:lineRule="auto" w:after="120"/>
      </w:pPr>
      <w:r>
        <w:rPr>
          <w:rFonts w:ascii="Times New Roman" w:hAnsi="Times New Roman" w:eastAsia="Times New Roman"/>
          <w:sz w:val="24"/>
        </w:rPr>
        <w:t>We respectfully request that reviewers familiar with both target-trial emulation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in any peer-reviewed venue and is not under consideration at any other journal. A non-peer-reviewed version has been posted as a preprint at SocArXiv (DOI 10.31235/osf.io/p2d8w_v1) per Royal Society Open Science preprint policy. The submission is sole-authored.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