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pPr>
    </w:p>
    <w:p>
      <w:pPr>
        <w:spacing w:line="480" w:lineRule="auto" w:before="0" w:after="0"/>
      </w:pPr>
    </w:p>
    <w:p>
      <w:pPr>
        <w:spacing w:line="480" w:lineRule="auto" w:before="0" w:after="0"/>
        <w:jc w:val="center"/>
      </w:pPr>
      <w:r>
        <w:rPr>
          <w:rFonts w:ascii="Times New Roman" w:hAnsi="Times New Roman" w:eastAsia="Times New Roman"/>
          <w:b/>
          <w:sz w:val="24"/>
        </w:rPr>
        <w:t>Person-Level versus System-Level Anti-Harassment Interventions: A HEXACO 7-Typology Counterfactual Microsimulation in Japanese Workplaces</w:t>
      </w:r>
    </w:p>
    <w:p>
      <w:pPr>
        <w:spacing w:line="480" w:lineRule="auto" w:before="0" w:after="0"/>
      </w:pPr>
    </w:p>
    <w:p>
      <w:pPr>
        <w:spacing w:line="480" w:lineRule="auto" w:before="0" w:after="0"/>
        <w:jc w:val="center"/>
      </w:pPr>
      <w:r>
        <w:rPr>
          <w:rFonts w:ascii="Times New Roman" w:hAnsi="Times New Roman" w:eastAsia="Times New Roman"/>
          <w:sz w:val="24"/>
        </w:rPr>
        <w:t>Eisuke Tokiwa</w:t>
      </w:r>
    </w:p>
    <w:p>
      <w:pPr>
        <w:spacing w:line="480" w:lineRule="auto" w:before="0" w:after="0"/>
        <w:jc w:val="center"/>
      </w:pPr>
      <w:r>
        <w:rPr>
          <w:rFonts w:ascii="Times New Roman" w:hAnsi="Times New Roman" w:eastAsia="Times New Roman"/>
          <w:sz w:val="24"/>
        </w:rPr>
        <w:t>SUNBLAZE Co., Ltd., Tokyo, Japan</w:t>
      </w:r>
    </w:p>
    <w:p>
      <w:pPr>
        <w:spacing w:line="480" w:lineRule="auto" w:before="0" w:after="0"/>
      </w:pPr>
    </w:p>
    <w:p>
      <w:pPr>
        <w:spacing w:line="480" w:lineRule="auto" w:before="0" w:after="0"/>
      </w:pPr>
    </w:p>
    <w:p>
      <w:pPr>
        <w:spacing w:line="480" w:lineRule="auto" w:before="0" w:after="0"/>
        <w:jc w:val="center"/>
      </w:pPr>
      <w:r>
        <w:rPr>
          <w:rFonts w:ascii="Times New Roman" w:hAnsi="Times New Roman" w:eastAsia="Times New Roman"/>
          <w:b/>
          <w:sz w:val="24"/>
        </w:rPr>
        <w:t>Author Note</w:t>
      </w:r>
    </w:p>
    <w:p>
      <w:pPr>
        <w:spacing w:line="480" w:lineRule="auto" w:before="0" w:after="0"/>
      </w:pPr>
      <w:r>
        <w:rPr>
          <w:rFonts w:ascii="Times New Roman" w:hAnsi="Times New Roman" w:eastAsia="Times New Roman"/>
          <w:sz w:val="24"/>
        </w:rPr>
        <w:t>Eisuke Tokiwa  https://orcid.org/0009-0009-7124-6669</w:t>
      </w:r>
    </w:p>
    <w:p>
      <w:pPr>
        <w:spacing w:line="480" w:lineRule="auto" w:before="0" w:after="0"/>
      </w:pPr>
      <w:r>
        <w:rPr>
          <w:rFonts w:ascii="Times New Roman" w:hAnsi="Times New Roman" w:eastAsia="Times New Roman"/>
          <w:sz w:val="24"/>
        </w:rPr>
        <w:t>The author discloses a potential competing interest as detailed in the Declarations below.</w:t>
      </w:r>
    </w:p>
    <w:p>
      <w:pPr>
        <w:spacing w:line="480" w:lineRule="auto" w:before="0" w:after="0"/>
      </w:pPr>
      <w:r>
        <w:rPr>
          <w:rFonts w:ascii="Times New Roman" w:hAnsi="Times New Roman" w:eastAsia="Times New Roman"/>
          <w:sz w:val="24"/>
        </w:rPr>
        <w:t>Correspondence concerning this article should be addressed to Eisuke Tokiwa, SUNBLAZE Co., Ltd., Tokyo, Japan. Email: eisuke.tokiwa@sunblaze.jp</w:t>
      </w:r>
    </w:p>
    <w:p>
      <w:pPr>
        <w:spacing w:line="480" w:lineRule="auto" w:before="0" w:after="0"/>
      </w:pPr>
    </w:p>
    <w:p>
      <w:pPr>
        <w:spacing w:line="480" w:lineRule="auto" w:before="0" w:after="0"/>
      </w:pPr>
    </w:p>
    <w:p>
      <w:pPr>
        <w:spacing w:line="480" w:lineRule="auto" w:before="0" w:after="0"/>
      </w:pPr>
      <w:r>
        <w:rPr>
          <w:rFonts w:ascii="Times New Roman" w:hAnsi="Times New Roman" w:eastAsia="Times New Roman"/>
          <w:b/>
          <w:sz w:val="24"/>
        </w:rPr>
        <w:t>Declarations</w:t>
      </w:r>
    </w:p>
    <w:p>
      <w:pPr>
        <w:spacing w:line="480" w:lineRule="auto" w:before="0" w:after="0"/>
      </w:pPr>
    </w:p>
    <w:p>
      <w:pPr>
        <w:spacing w:line="480" w:lineRule="auto" w:before="0" w:after="0"/>
      </w:pPr>
      <w:r>
        <w:rPr>
          <w:rFonts w:ascii="Times New Roman" w:hAnsi="Times New Roman" w:eastAsia="Times New Roman"/>
          <w:b/>
          <w:sz w:val="24"/>
        </w:rPr>
        <w:t>Competing Interests</w:t>
      </w:r>
    </w:p>
    <w:p>
      <w:pPr>
        <w:spacing w:line="480" w:lineRule="auto" w:before="0" w:after="0"/>
      </w:pPr>
      <w:r>
        <w:rPr>
          <w:rFonts w:ascii="Times New Roman" w:hAnsi="Times New Roman" w:eastAsia="Times New Roman"/>
          <w:sz w:val="24"/>
        </w:rPr>
        <w:t>The author discloses the following potential competing interest: the author is the representative of SUNBLAZE Co., Ltd. (Tokyo, Japan), which provides HEXACO-JP, a proprietary Japanese-language HEXACO-based personality assessment service. Three points qualify the disclosure. (i) The present study does not use HEXACO-JP. The HEXACO instrument used here is the HEXACO-PI-R Japanese 60-item adaptation published by Wakabayashi (2014), a separately validated and openly cited instrument that predates and is independent of HEXACO-JP. (ii) The present manuscript does not reference, evaluate, market, recommend, or otherwise promote HEXACO-JP or any other SUNBLAZE product or service, and SUNBLAZE Co., Ltd. did not commission, sponsor, or direct the research. (iii) The headline empirical findings (a null personality-intervention contrast, a positive structural-intervention contrast, and the reframing of HEXACO 7-typology as a stratification variable rather than an intervention or screening target) do not differentially favor commercial HEXACO-based assessment products.</w:t>
      </w:r>
    </w:p>
    <w:p>
      <w:pPr>
        <w:spacing w:line="480" w:lineRule="auto" w:before="0" w:after="0"/>
      </w:pPr>
    </w:p>
    <w:p>
      <w:pPr>
        <w:spacing w:line="480" w:lineRule="auto" w:before="0" w:after="0"/>
      </w:pPr>
      <w:r>
        <w:rPr>
          <w:rFonts w:ascii="Times New Roman" w:hAnsi="Times New Roman" w:eastAsia="Times New Roman"/>
          <w:b/>
          <w:sz w:val="24"/>
        </w:rPr>
        <w:t>Funding</w:t>
      </w:r>
    </w:p>
    <w:p>
      <w:pPr>
        <w:spacing w:line="480" w:lineRule="auto" w:before="0" w:after="0"/>
      </w:pPr>
      <w:r>
        <w:rPr>
          <w:rFonts w:ascii="Times New Roman" w:hAnsi="Times New Roman" w:eastAsia="Times New Roman"/>
          <w:sz w:val="24"/>
        </w:rPr>
        <w:t>No funding was received for this research. SUNBLAZE Co., Ltd. did not provide any funding, equipment, or compensation, and no external grant funding from public, commercial, or not-for-profit agencies was received. The author conducted the research as an independent academic project at no monetary cost, using publicly available analytical software and previously collected data.</w:t>
      </w:r>
    </w:p>
    <w:p>
      <w:pPr>
        <w:spacing w:line="480" w:lineRule="auto" w:before="0" w:after="0"/>
      </w:pPr>
    </w:p>
    <w:p>
      <w:pPr>
        <w:spacing w:line="480" w:lineRule="auto" w:before="0" w:after="0"/>
      </w:pPr>
      <w:r>
        <w:rPr>
          <w:rFonts w:ascii="Times New Roman" w:hAnsi="Times New Roman" w:eastAsia="Times New Roman"/>
          <w:b/>
          <w:sz w:val="24"/>
        </w:rPr>
        <w:t>Ethics Approval</w:t>
      </w:r>
    </w:p>
    <w:p>
      <w:pPr>
        <w:spacing w:line="480" w:lineRule="auto" w:before="0" w:after="0"/>
      </w:pPr>
      <w:r>
        <w:rPr>
          <w:rFonts w:ascii="Times New Roman" w:hAnsi="Times New Roman" w:eastAsia="Times New Roman"/>
          <w:sz w:val="24"/>
        </w:rPr>
        <w:t>The N = 354 individual-level harassment data re-analyzed in this study were originally collected under an IRB-approved protocol described in Tokiwa (2025, Research Square preprint, DOI 10.21203/rs.3.rs-7756124/v1). The present study is a secondary analysis of these de-identified data and does not introduce any new contact with participants; consistent with standard practice for secondary analysis of de-identified data covered by the original IRB approval, no additional ethics review was sought.</w:t>
      </w:r>
    </w:p>
    <w:p>
      <w:pPr>
        <w:spacing w:line="480" w:lineRule="auto" w:before="0" w:after="0"/>
      </w:pPr>
    </w:p>
    <w:p>
      <w:pPr>
        <w:spacing w:line="480" w:lineRule="auto" w:before="0" w:after="0"/>
      </w:pPr>
      <w:r>
        <w:rPr>
          <w:rFonts w:ascii="Times New Roman" w:hAnsi="Times New Roman" w:eastAsia="Times New Roman"/>
          <w:b/>
          <w:sz w:val="24"/>
        </w:rPr>
        <w:t>Informed Consent</w:t>
      </w:r>
    </w:p>
    <w:p>
      <w:pPr>
        <w:spacing w:line="480" w:lineRule="auto" w:before="0" w:after="0"/>
      </w:pPr>
      <w:r>
        <w:rPr>
          <w:rFonts w:ascii="Times New Roman" w:hAnsi="Times New Roman" w:eastAsia="Times New Roman"/>
          <w:sz w:val="24"/>
        </w:rPr>
        <w:t>All N = 354 participants in the original survey provided informed consent for research use of their de-identified responses (per Tokiwa, 2025). The present secondary analysis introduces no new participant contact.</w:t>
      </w:r>
    </w:p>
    <w:p>
      <w:pPr>
        <w:spacing w:line="480" w:lineRule="auto" w:before="0" w:after="0"/>
      </w:pPr>
    </w:p>
    <w:p>
      <w:pPr>
        <w:spacing w:line="480" w:lineRule="auto" w:before="0" w:after="0"/>
      </w:pPr>
      <w:r>
        <w:rPr>
          <w:rFonts w:ascii="Times New Roman" w:hAnsi="Times New Roman" w:eastAsia="Times New Roman"/>
          <w:b/>
          <w:sz w:val="24"/>
        </w:rPr>
        <w:t>Pre-registration</w:t>
      </w:r>
    </w:p>
    <w:p>
      <w:pPr>
        <w:spacing w:line="480" w:lineRule="auto" w:before="0" w:after="0"/>
      </w:pPr>
      <w:r>
        <w:rPr>
          <w:rFonts w:ascii="Times New Roman" w:hAnsi="Times New Roman" w:eastAsia="Times New Roman"/>
          <w:sz w:val="24"/>
        </w:rPr>
        <w:t>This Stage 2 Registered Report implements, without deviation, the analysis plan pre-registered as v2.0 at the Open Science Framework (DOI 10.17605/OSF.IO/3Y54U; https://osf.io/3y54u; registered 2026-04-30). The Section 6.5 Level 1 Methods Clarifications Log accompanying the v2.0 registration documents 16 minor specification clarifications applied prior to Stage 0 implementation.</w:t>
      </w:r>
    </w:p>
    <w:p>
      <w:pPr>
        <w:spacing w:line="480" w:lineRule="auto" w:before="0" w:after="0"/>
      </w:pPr>
    </w:p>
    <w:p>
      <w:pPr>
        <w:spacing w:line="480" w:lineRule="auto" w:before="0" w:after="0"/>
      </w:pPr>
      <w:r>
        <w:rPr>
          <w:rFonts w:ascii="Times New Roman" w:hAnsi="Times New Roman" w:eastAsia="Times New Roman"/>
          <w:b/>
          <w:sz w:val="24"/>
        </w:rPr>
        <w:t>Availability of data and material</w:t>
      </w:r>
    </w:p>
    <w:p>
      <w:pPr>
        <w:spacing w:line="480" w:lineRule="auto" w:before="0" w:after="0"/>
      </w:pPr>
      <w:r>
        <w:rPr>
          <w:rFonts w:ascii="Times New Roman" w:hAnsi="Times New Roman" w:eastAsia="Times New Roman"/>
          <w:sz w:val="24"/>
        </w:rPr>
        <w:t>Public-tier supplementary artifacts (Stage 0–8 HDF5, Figures 1–6 in PNG/PDF/SVG, canonical numerical record, SHA-256 reference hashes) are openly available at the v2.0 OSF working project (osf.io/3hxz6, v2.0/v2.0_supplementary.tar.gz). The N = 354 individual-level dataset is governed by the IRB-approved data-sharing protocol and hosted in a Private OSF component with a documented Request-Access mechanism (parent project Wiki at osf.io/3hxz6/wiki/home/ lists access criteria, IRB requirements, and data-use terms). All analysis code is publicly archived under MIT license at https://github.com/etoki/paper (directory: simulation/).</w:t>
      </w:r>
    </w:p>
    <w:p>
      <w:pPr>
        <w:spacing w:line="480" w:lineRule="auto" w:before="0" w:after="0"/>
      </w:pPr>
    </w:p>
    <w:p>
      <w:pPr>
        <w:spacing w:line="480" w:lineRule="auto" w:before="0" w:after="0"/>
      </w:pPr>
      <w:r>
        <w:rPr>
          <w:rFonts w:ascii="Times New Roman" w:hAnsi="Times New Roman" w:eastAsia="Times New Roman"/>
          <w:b/>
          <w:sz w:val="24"/>
        </w:rPr>
        <w:t>Authors' contributions</w:t>
      </w:r>
    </w:p>
    <w:p>
      <w:pPr>
        <w:spacing w:line="480" w:lineRule="auto" w:before="0" w:after="0"/>
      </w:pPr>
      <w:r>
        <w:rPr>
          <w:rFonts w:ascii="Times New Roman" w:hAnsi="Times New Roman" w:eastAsia="Times New Roman"/>
          <w:sz w:val="24"/>
        </w:rPr>
        <w:t>The sole author (Eisuke Tokiwa) was responsible for conceptualization, methodology, software, formal analysis, investigation, data curation, writing — original draft, and writing — review &amp; editing.</w:t>
      </w:r>
    </w:p>
    <w:p>
      <w:pPr>
        <w:spacing w:line="480" w:lineRule="auto" w:before="0" w:after="0"/>
      </w:pPr>
    </w:p>
    <w:p>
      <w:pPr>
        <w:spacing w:line="480" w:lineRule="auto" w:before="0" w:after="0"/>
      </w:pPr>
      <w:r>
        <w:rPr>
          <w:rFonts w:ascii="Times New Roman" w:hAnsi="Times New Roman" w:eastAsia="Times New Roman"/>
          <w:b/>
          <w:sz w:val="24"/>
        </w:rPr>
        <w:t>Preprint Statement</w:t>
      </w:r>
    </w:p>
    <w:p>
      <w:pPr>
        <w:spacing w:line="480" w:lineRule="auto" w:before="0" w:after="0"/>
      </w:pPr>
      <w:r>
        <w:rPr>
          <w:rFonts w:ascii="Times New Roman" w:hAnsi="Times New Roman" w:eastAsia="Times New Roman"/>
          <w:sz w:val="24"/>
        </w:rPr>
        <w:t>A preprint of the present manuscript is publicly available at SocArXiv (DOI 10.31235/osf.io/p2d8w_v1; https://osf.io/preprints/socarxiv/p2d8w_v1). The underlying N = 354 dataset and its descriptive analyses are available as a separate preprint at Research Square (DOI 10.21203/rs.3.rs-7756124/v1; Tokiwa, 2025). The seven HEXACO cluster centroids used as fixed parameters in this study are from the companion paper Tokiwa (2026, IEEE Access, DOI 10.1109/ACCESS.2026.3651324).</w:t>
      </w:r>
    </w:p>
    <w:p>
      <w:pPr>
        <w:spacing w:line="480" w:lineRule="auto" w:before="0" w:after="0"/>
      </w:pPr>
    </w:p>
    <w:p>
      <w:pPr>
        <w:spacing w:line="480" w:lineRule="auto" w:before="0" w:after="0"/>
      </w:pPr>
      <w:r>
        <w:rPr>
          <w:rFonts w:ascii="Times New Roman" w:hAnsi="Times New Roman" w:eastAsia="Times New Roman"/>
          <w:b/>
          <w:sz w:val="24"/>
        </w:rPr>
        <w:t>Acknowledgments</w:t>
      </w:r>
    </w:p>
    <w:p>
      <w:pPr>
        <w:spacing w:line="480" w:lineRule="auto" w:before="0" w:after="0"/>
      </w:pPr>
      <w:r>
        <w:rPr>
          <w:rFonts w:ascii="Times New Roman" w:hAnsi="Times New Roman" w:eastAsia="Times New Roman"/>
          <w:sz w:val="24"/>
        </w:rPr>
        <w:t>The author thanks the anonymous external methodologist (mode B; mathematical biology background) whose review memo led to the Section 6.5 Level 1 Methods Clarifications Log, and the N = 354 survey respondents whose anonymized data made this analysis possible.</w:t>
      </w:r>
    </w:p>
    <w:p>
      <w:pPr>
        <w:spacing w:line="480" w:lineRule="auto" w:before="0" w:after="0"/>
      </w:pPr>
    </w:p>
    <w:p>
      <w:pPr>
        <w:spacing w:line="480" w:lineRule="auto" w:before="0" w:after="0"/>
      </w:pPr>
      <w:r>
        <w:rPr>
          <w:rFonts w:ascii="Times New Roman" w:hAnsi="Times New Roman" w:eastAsia="Times New Roman"/>
          <w:sz w:val="24"/>
        </w:rPr>
        <w:t>Note (journal submission): This manuscript is being submitted as a Stage 2 Registered Report. Conditional acceptance based on Stage 1 review of the v2.0 protocol document (https://osf.io/3y54u) is acknowledged in the accompanying cover letter.</w:t>
      </w:r>
    </w:p>
    <w:p>
      <w:r>
        <w:br w:type="page"/>
      </w:r>
    </w:p>
    <w:p>
      <w:pPr>
        <w:spacing w:line="480" w:lineRule="auto" w:before="0" w:after="0"/>
        <w:ind w:firstLine="720"/>
      </w:pPr>
      <w:r>
        <w:rPr>
          <w:rFonts w:ascii="Times New Roman" w:hAnsi="Times New Roman" w:eastAsia="Times New Roman"/>
          <w:sz w:val="24"/>
        </w:rPr>
        <w:t>(</w:t>
      </w:r>
      <w:r>
        <w:rPr>
          <w:rFonts w:ascii="Times New Roman" w:hAnsi="Times New Roman" w:eastAsia="Times New Roman"/>
          <w:i/>
          <w:sz w:val="24"/>
        </w:rPr>
        <w:t>Pre-registration, reporting standard, funding, competing interests, and data availability</w:t>
      </w:r>
      <w:r>
        <w:rPr>
          <w:rFonts w:ascii="Times New Roman" w:hAnsi="Times New Roman" w:eastAsia="Times New Roman"/>
          <w:sz w:val="24"/>
        </w:rPr>
        <w:t xml:space="preserve"> are reported in the Author Note / Declarations on the title page of the rendered manuscript and in the Methods § Data availability subsection. The condensed disclosure: the author is the founder of SUNBLAZE Co., Ltd., which provides HEXACO-JP, a proprietary Japanese-language HEXACO-based personality assessment service; this is a potential competing interest. The present study does not use HEXACO-JP — it uses the HEXACO-PI-R Japanese 60-item adaptation of Wakabayashi (2014) — and the manuscript does not reference, evaluate, market, recommend, or promote HEXACO-JP or any other SUNBLAZE product. No funding was received for this research from any source. Pre-registration: v2.0, locked 2026-04-30.)</w:t>
      </w:r>
    </w:p>
    <w:p>
      <w:pPr>
        <w:spacing w:line="480" w:lineRule="auto" w:before="0" w:after="0"/>
        <w:jc w:val="center"/>
      </w:pPr>
      <w:r>
        <w:rPr>
          <w:rFonts w:ascii="Times New Roman" w:hAnsi="Times New Roman" w:eastAsia="Times New Roman"/>
          <w:b/>
          <w:sz w:val="24"/>
        </w:rPr>
        <w:t>Abstract</w:t>
      </w:r>
    </w:p>
    <w:p>
      <w:pPr>
        <w:spacing w:line="480" w:lineRule="auto" w:before="0" w:after="0"/>
        <w:ind w:firstLine="720"/>
      </w:pPr>
      <w:r>
        <w:rPr>
          <w:rFonts w:ascii="Times New Roman" w:hAnsi="Times New Roman" w:eastAsia="Times New Roman"/>
          <w:sz w:val="24"/>
        </w:rPr>
        <w:t>Workplace harassment imposes mental-health and labor-supply costs in Japan, where Ministry of Health, Labour and Welfare (MHLW) surveys document past-three-year power-harassment victimization declining from 32.5% (FY2016) to 19.3% (FY2023) across the enforcement period of the 2020 Power Harassment Prevention Law. The relative population-level magnitudes of plausible person-level and system-level interventions in this setting have not been compared in a pre-registered counterfactual framework. We pre-registered a HEXACO 7-typology microsimulation emulating a target trial of three interventions: (A) +0.3 SD on Honesty-Humility, Agreeableness, and Emotionality; (B) +0.40 SD on Honesty-Humility restricted to three low-prevalence typologies; and (C) a 20% cell-level propensity reduction, calibrated against three meta-analyses of organizational anti-harassment interventions and the −13.2-percentage-point MHLW FY2016–FY2023 decline. Using N = 354 observations partitioned into 14 cells (7 typologies × 2 genders) with cell-stratified bootstrap (B = 10,000), Beta-Binomial empirical Bayes shrinkage, and a BCa confidence-interval cascade, the personality contrasts are null (ΔP_A = −0.0061, 95% CI [−0.0207, +0.0062]; ΔP_B = −0.0059, 95% CI [−0.0207, +0.0066]), whereas the structural contrast is positive (ΔP_C = +0.0349, 95% CI [+0.0264, +0.0435]). The pre-registered intersection-union test classifies this as REVERSAL: in absolute magnitude, |ΔP_C|/|ΔP_A| ≈ 5.7. The classification is robust across four cultural-attenuation factors and nine pre-registered analytic choices. The findings are consistent with treating HEXACO 7-typology as a stratification variable rather than a personality-modification target, and we caution against reading HEXACO–harassment associations as endorsing person-focused remediation.</w:t>
      </w:r>
    </w:p>
    <w:p>
      <w:pPr>
        <w:spacing w:line="480" w:lineRule="auto" w:before="0" w:after="0"/>
        <w:ind w:firstLine="720"/>
      </w:pPr>
      <w:r>
        <w:rPr>
          <w:rFonts w:ascii="Times New Roman" w:hAnsi="Times New Roman" w:eastAsia="Times New Roman"/>
          <w:b/>
          <w:sz w:val="24"/>
        </w:rPr>
        <w:t>Keywords</w:t>
      </w:r>
      <w:r>
        <w:rPr>
          <w:rFonts w:ascii="Times New Roman" w:hAnsi="Times New Roman" w:eastAsia="Times New Roman"/>
          <w:sz w:val="24"/>
        </w:rPr>
        <w:t>: workplace harassment; HEXACO; counterfactual simulation; target trial emulation; Japan; pre-registration; structural intervention; personality intervention; 2020 Power Harassment Prevention Law</w:t>
      </w:r>
    </w:p>
    <w:p>
      <w:pPr>
        <w:spacing w:line="480" w:lineRule="auto" w:before="0" w:after="0"/>
        <w:jc w:val="center"/>
      </w:pPr>
      <w:r>
        <w:rPr>
          <w:rFonts w:ascii="Times New Roman" w:hAnsi="Times New Roman" w:eastAsia="Times New Roman"/>
          <w:b/>
          <w:sz w:val="24"/>
        </w:rPr>
        <w:t>Introduction</w:t>
      </w:r>
    </w:p>
    <w:p>
      <w:pPr>
        <w:spacing w:line="480" w:lineRule="auto" w:before="0" w:after="0"/>
        <w:jc w:val="left"/>
      </w:pPr>
      <w:r>
        <w:rPr>
          <w:rFonts w:ascii="Times New Roman" w:hAnsi="Times New Roman" w:eastAsia="Times New Roman"/>
          <w:b/>
          <w:sz w:val="24"/>
        </w:rPr>
        <w:t>Workplace harassment as a public-health and policy problem</w:t>
      </w:r>
    </w:p>
    <w:p>
      <w:pPr>
        <w:spacing w:line="480" w:lineRule="auto" w:before="0" w:after="0"/>
        <w:ind w:firstLine="720"/>
      </w:pPr>
      <w:r>
        <w:rPr>
          <w:rFonts w:ascii="Times New Roman" w:hAnsi="Times New Roman" w:eastAsia="Times New Roman"/>
          <w:sz w:val="24"/>
        </w:rPr>
        <w:t>Workplace harassment has been associated with elevated risk of psychiatric morbidity, voluntary turnover, and reduced labor productivity in industrialized economies (Hershcovis &amp; Barling, 2010; Salin, 2003). In Japan, the Ministry of Health, Labour and Welfare (MHLW) has documented past-three-year power-harassment victimization rates of 32.5% in FY2016, 31.4% in FY2020, and 19.3% in FY2023 (MHLW, 2017, 2021, 2024). The 13.2 percentage-point decline between FY2016 and FY2023 coincides with the staged enforcement of the 2020 Power Harassment Prevention Law, which mandated formal anti-harassment policies, employee-accessible reporting channels, and prohibited retaliation against complainants — first for large enterprises in June 2020, and subsequently extended to small-and-medium enterprises in April 2022. This temporal coincidence has been treated in the policy literature as a natural-experiment-like setting; it provides a substantive backdrop for the present pre-registered analysis, although the present study is observational and not a formal causal inference about the law itself.</w:t>
      </w:r>
    </w:p>
    <w:p>
      <w:pPr>
        <w:spacing w:line="480" w:lineRule="auto" w:before="0" w:after="0"/>
        <w:ind w:firstLine="720"/>
      </w:pPr>
      <w:r>
        <w:rPr>
          <w:rFonts w:ascii="Times New Roman" w:hAnsi="Times New Roman" w:eastAsia="Times New Roman"/>
          <w:sz w:val="24"/>
        </w:rPr>
        <w:t>A long-standing theoretical question in workplace-psychology research concerns the relative explanatory weight of person-level factors — individual personality dispositions associated with harassment perpetration or victimization — versus system-level factors that involve organizational structure, accountability mechanisms, and power asymmetries (Mikkelsen et al., 2020; Salin, 2021). The former framing treats harassment as primarily driven by individual disposition; the latter treats it as primarily driven by environmental affordance. Despite extensive research linking personality traits to bullying and harassment (Nielsen et al., 2017; Pilch &amp; Turska, 2015), the relative population-level magnitude of plausible person-level and system-level intervention contrasts has not been quantitatively compared in a counterfactually formal framework calibrated against prior meta-analytic effect sizes.</w:t>
      </w:r>
    </w:p>
    <w:p>
      <w:pPr>
        <w:spacing w:line="480" w:lineRule="auto" w:before="0" w:after="0"/>
        <w:jc w:val="left"/>
      </w:pPr>
      <w:r>
        <w:rPr>
          <w:rFonts w:ascii="Times New Roman" w:hAnsi="Times New Roman" w:eastAsia="Times New Roman"/>
          <w:b/>
          <w:sz w:val="24"/>
        </w:rPr>
        <w:t>HEXACO 7-typology and its prior connection to workplace harassment</w:t>
      </w:r>
    </w:p>
    <w:p>
      <w:pPr>
        <w:spacing w:line="480" w:lineRule="auto" w:before="0" w:after="0"/>
        <w:ind w:firstLine="720"/>
      </w:pPr>
      <w:r>
        <w:rPr>
          <w:rFonts w:ascii="Times New Roman" w:hAnsi="Times New Roman" w:eastAsia="Times New Roman"/>
          <w:sz w:val="24"/>
        </w:rPr>
        <w:t>The HEXACO model of personality (Ashton &amp; Lee, 2007) extends the classical Big Five framework with an additional dimension, Honesty-Humility (HH), which captures fairness, modesty, sincerity, and resistance to exploiting others. Within the HEXACO literature, low Honesty-Humility, low Agreeableness, and high Emotionality have repeatedly been associated with workplace bullying perpetration and victimization (Glasø et al., 2007; Lee et al., 2013; Linton &amp; Power, 2013; Nielsen et al., 2017). However, the magnitude of these associations is generally modest (uncorrected r typically in the range 0.10–0.30; Nielsen et al., 2017), and recent meta-analyses suggest considerable cross-cultural heterogeneity in workplace bullying acceptability and effect sizes (Power et al., 2013, comparing six continents; Nielsen et al., 2017, reporting attenuated Asia/Oceania effects of r = .16 versus European r = .33 for Neuroticism–bullying associations).</w:t>
      </w:r>
    </w:p>
    <w:p>
      <w:pPr>
        <w:spacing w:line="480" w:lineRule="auto" w:before="0" w:after="0"/>
        <w:ind w:firstLine="720"/>
      </w:pPr>
      <w:r>
        <w:rPr>
          <w:rFonts w:ascii="Times New Roman" w:hAnsi="Times New Roman" w:eastAsia="Times New Roman"/>
          <w:sz w:val="24"/>
        </w:rPr>
        <w:t>In a companion study, the author identified seven robust HEXACO clusters in a Japanese sample of N = 13,668 (Tokiwa, 2026; herein "the centroid study"). The seven typologies — labeled here as types 0 through 6 — span the joint distribution of HEXACO domains and provide a parsimonious taxonomy for categorizing individuals according to their personality profile. The present study leverages these published centroids as fixed parameters for stratifying a smaller harassment-focused subsample (N = 354; Tokiwa, 2025).</w:t>
      </w:r>
    </w:p>
    <w:p>
      <w:pPr>
        <w:spacing w:line="480" w:lineRule="auto" w:before="0" w:after="0"/>
        <w:ind w:firstLine="720"/>
      </w:pPr>
      <w:r>
        <w:rPr>
          <w:rFonts w:ascii="Times New Roman" w:hAnsi="Times New Roman" w:eastAsia="Times New Roman"/>
          <w:b/>
          <w:sz w:val="24"/>
        </w:rPr>
        <w:t>A critical reframing.</w:t>
      </w:r>
      <w:r>
        <w:rPr>
          <w:rFonts w:ascii="Times New Roman" w:hAnsi="Times New Roman" w:eastAsia="Times New Roman"/>
          <w:sz w:val="24"/>
        </w:rPr>
        <w:t xml:space="preserve"> The role of HEXACO in this study is </w:t>
      </w:r>
      <w:r>
        <w:rPr>
          <w:rFonts w:ascii="Times New Roman" w:hAnsi="Times New Roman" w:eastAsia="Times New Roman"/>
          <w:i/>
          <w:sz w:val="24"/>
        </w:rPr>
        <w:t>not</w:t>
      </w:r>
      <w:r>
        <w:rPr>
          <w:rFonts w:ascii="Times New Roman" w:hAnsi="Times New Roman" w:eastAsia="Times New Roman"/>
          <w:sz w:val="24"/>
        </w:rPr>
        <w:t xml:space="preserve"> to identify who should be subjected to personality interventions. Rather, HEXACO 7-typology serves as a </w:t>
      </w:r>
      <w:r>
        <w:rPr>
          <w:rFonts w:ascii="Times New Roman" w:hAnsi="Times New Roman" w:eastAsia="Times New Roman"/>
          <w:i/>
          <w:sz w:val="24"/>
        </w:rPr>
        <w:t>stratification variable</w:t>
      </w:r>
      <w:r>
        <w:rPr>
          <w:rFonts w:ascii="Times New Roman" w:hAnsi="Times New Roman" w:eastAsia="Times New Roman"/>
          <w:sz w:val="24"/>
        </w:rPr>
        <w:t xml:space="preserve"> that identifies which subgroups are differentially exposed to workplace harassment. Whether this differential exposure reflects direct personality causation (low-HH individuals harass or are harassed at higher rates), selection (low-HH individuals self-select into harassment-prone industries), confounding (shared socioeconomic factors elevate both low-HH and harassment risk), or reverse causation (harassment exposure depresses HH scores via cynicism) cannot be distinguished from observational data alone. Our counterfactual analysis is designed to identify which of these mechanisms is </w:t>
      </w:r>
      <w:r>
        <w:rPr>
          <w:rFonts w:ascii="Times New Roman" w:hAnsi="Times New Roman" w:eastAsia="Times New Roman"/>
          <w:i/>
          <w:sz w:val="24"/>
        </w:rPr>
        <w:t>not</w:t>
      </w:r>
      <w:r>
        <w:rPr>
          <w:rFonts w:ascii="Times New Roman" w:hAnsi="Times New Roman" w:eastAsia="Times New Roman"/>
          <w:sz w:val="24"/>
        </w:rPr>
        <w:t xml:space="preserve"> the dominant one — namely, by testing whether shifting individuals' HEXACO scores reduces aggregate prevalence — but is not designed to adjudicate among the remaining alternatives.</w:t>
      </w:r>
    </w:p>
    <w:p>
      <w:pPr>
        <w:spacing w:line="480" w:lineRule="auto" w:before="0" w:after="0"/>
        <w:jc w:val="left"/>
      </w:pPr>
      <w:r>
        <w:rPr>
          <w:rFonts w:ascii="Times New Roman" w:hAnsi="Times New Roman" w:eastAsia="Times New Roman"/>
          <w:b/>
          <w:sz w:val="24"/>
        </w:rPr>
        <w:t>Microsimulation as a methodological bridge</w:t>
      </w:r>
    </w:p>
    <w:p>
      <w:pPr>
        <w:spacing w:line="480" w:lineRule="auto" w:before="0" w:after="0"/>
        <w:ind w:firstLine="720"/>
      </w:pPr>
      <w:r>
        <w:rPr>
          <w:rFonts w:ascii="Times New Roman" w:hAnsi="Times New Roman" w:eastAsia="Times New Roman"/>
          <w:sz w:val="24"/>
        </w:rPr>
        <w:t>Microsimulation methods, originating in demographic and economic policy analysis (Spielauer, 2011) and extended into epidemiology and public health (Rutter et al., 2011), allow researchers to project individual-level data into population-level prevalence estimates under counterfactual scenarios. The methodological strength of microsimulation lies in its ability to combine (a) detailed individual-level inputs, (b) population-level reweighting via official census or labor-force statistics, and (c) explicit counterfactual interventions with causal interpretation. In contrast to purely statistical adjustment or survey reweighting, microsimulation makes the implementation of "what-if" interventions explicit and falsifiable.</w:t>
      </w:r>
    </w:p>
    <w:p>
      <w:pPr>
        <w:spacing w:line="480" w:lineRule="auto" w:before="0" w:after="0"/>
        <w:ind w:firstLine="720"/>
      </w:pPr>
      <w:r>
        <w:rPr>
          <w:rFonts w:ascii="Times New Roman" w:hAnsi="Times New Roman" w:eastAsia="Times New Roman"/>
          <w:sz w:val="24"/>
        </w:rPr>
        <w:t xml:space="preserve">The present study adopts the framework of </w:t>
      </w:r>
      <w:r>
        <w:rPr>
          <w:rFonts w:ascii="Times New Roman" w:hAnsi="Times New Roman" w:eastAsia="Times New Roman"/>
          <w:i/>
          <w:sz w:val="24"/>
        </w:rPr>
        <w:t>target trial emulation</w:t>
      </w:r>
      <w:r>
        <w:rPr>
          <w:rFonts w:ascii="Times New Roman" w:hAnsi="Times New Roman" w:eastAsia="Times New Roman"/>
          <w:sz w:val="24"/>
        </w:rPr>
        <w:t xml:space="preserve"> (Hernán &amp; Robins, 2016, 2020) to formalize the counterfactual interventions of interest. Target trial emulation requires four identifying assumptions: (i) consistency between observed and counterfactual treatments, (ii) exchangeability conditional on measured covariates, (iii) positivity of treatment assignment, and (iv) absence of interference between units (SUTVA; Hudgens &amp; Halloran, 2008). We address each assumption explicitly in the Methods and Discussion.</w:t>
      </w:r>
    </w:p>
    <w:p>
      <w:pPr>
        <w:spacing w:line="480" w:lineRule="auto" w:before="0" w:after="0"/>
        <w:ind w:firstLine="720"/>
      </w:pPr>
      <w:r>
        <w:rPr>
          <w:rFonts w:ascii="Times New Roman" w:hAnsi="Times New Roman" w:eastAsia="Times New Roman"/>
          <w:sz w:val="24"/>
        </w:rPr>
        <w:t>Counterfactual contrasts are formulated using the Pearl (2009) do-operator. Specifically, we define three pre-registered interventions:</w:t>
      </w:r>
    </w:p>
    <w:p>
      <w:pPr>
        <w:pStyle w:val="ListBullet"/>
        <w:spacing w:line="480" w:lineRule="auto" w:before="0" w:after="0"/>
      </w:pPr>
      <w:r>
        <w:rPr>
          <w:rFonts w:ascii="Times New Roman" w:hAnsi="Times New Roman" w:eastAsia="Times New Roman"/>
          <w:sz w:val="24"/>
        </w:rPr>
        <w:t>Counterfactual A (personality intervention): do(HH ← HH + 0.3 σ_HH; A ← A + 0.3 σ_A; E ← E + 0.3 σ_E). The +0.3 SD calibration is derived from the upper bound of effect sizes reported in personality-training meta-analyses (Hudson &amp; Fraley, 2015; Roberts et al., 2017).</w:t>
      </w:r>
    </w:p>
    <w:p>
      <w:pPr>
        <w:pStyle w:val="ListBullet"/>
        <w:spacing w:line="480" w:lineRule="auto" w:before="0" w:after="0"/>
      </w:pPr>
      <w:r>
        <w:rPr>
          <w:rFonts w:ascii="Times New Roman" w:hAnsi="Times New Roman" w:eastAsia="Times New Roman"/>
          <w:sz w:val="24"/>
        </w:rPr>
        <w:t>Counterfactual B (targeted personality intervention on low-prevalence subgroup): do(HH := HH + 0.40 σ_HH) restricted to individuals whose baseline cluster is already in the pre-registered low-prevalence target set {0, 4, 6}; HEXACO scores of all other individuals are unchanged. After the targeted shift, all individuals are re-classified by nearest-centroid on the post-intervention HEXACO matrix and per-cell propensities are re-computed. This intervention represents a subgroup-targeted personality-amplification scenario rather than a forced reassignment of the full sample, and serves as a falsification benchmark for any person-level intervention focused on the lowest-prevalence typologies.</w:t>
      </w:r>
    </w:p>
    <w:p>
      <w:pPr>
        <w:pStyle w:val="ListBullet"/>
        <w:spacing w:line="480" w:lineRule="auto" w:before="0" w:after="0"/>
      </w:pPr>
      <w:r>
        <w:rPr>
          <w:rFonts w:ascii="Times New Roman" w:hAnsi="Times New Roman" w:eastAsia="Times New Roman"/>
          <w:sz w:val="24"/>
        </w:rPr>
        <w:t>Counterfactual C (structural reform): do(P_{c, x = power} ← 0.8 × P_{c, x = power}). Cell-level propensity is reduced by 20% uniformly across all cluster × gender cells, calibrated against three meta-analyses of organizational anti-harassment interventions (Escartín, 2016; Hodgins et al., 2014; Salin, 2021), as well as the empirical −13.2 percentage-point reduction observed in the MHLW survey series between FY2016 and FY2023, spanning the 2020 Power Harassment Prevention Law's staged enforcement.</w:t>
      </w:r>
    </w:p>
    <w:p>
      <w:pPr>
        <w:spacing w:line="480" w:lineRule="auto" w:before="0" w:after="0"/>
        <w:ind w:firstLine="720"/>
      </w:pPr>
      <w:r>
        <w:rPr>
          <w:rFonts w:ascii="Times New Roman" w:hAnsi="Times New Roman" w:eastAsia="Times New Roman"/>
          <w:sz w:val="24"/>
        </w:rPr>
        <w:t xml:space="preserve">The asymmetry between A/B and C — namely, that A and B intervene on personality while C intervenes on the propensity-environment pathway — operationalizes the question: </w:t>
      </w:r>
      <w:r>
        <w:rPr>
          <w:rFonts w:ascii="Times New Roman" w:hAnsi="Times New Roman" w:eastAsia="Times New Roman"/>
          <w:i/>
          <w:sz w:val="24"/>
        </w:rPr>
        <w:t>given comparable effect sizes drawn from prior literature on each intervention type, which produces a larger population-level prevalence reduction?</w:t>
      </w:r>
    </w:p>
    <w:p>
      <w:pPr>
        <w:spacing w:line="480" w:lineRule="auto" w:before="0" w:after="0"/>
        <w:jc w:val="left"/>
      </w:pPr>
      <w:r>
        <w:rPr>
          <w:rFonts w:ascii="Times New Roman" w:hAnsi="Times New Roman" w:eastAsia="Times New Roman"/>
          <w:b/>
          <w:sz w:val="24"/>
        </w:rPr>
        <w:t>Hypotheses</w:t>
      </w:r>
    </w:p>
    <w:p>
      <w:pPr>
        <w:spacing w:line="480" w:lineRule="auto" w:before="0" w:after="0"/>
        <w:ind w:firstLine="720"/>
      </w:pPr>
      <w:r>
        <w:rPr>
          <w:rFonts w:ascii="Times New Roman" w:hAnsi="Times New Roman" w:eastAsia="Times New Roman"/>
          <w:sz w:val="24"/>
        </w:rPr>
        <w:t>The pre-registration (v2.0) specifies seven primary hypotheses:</w:t>
      </w:r>
    </w:p>
    <w:p>
      <w:pPr>
        <w:pStyle w:val="ListBullet"/>
        <w:spacing w:line="480" w:lineRule="auto" w:before="0" w:after="0"/>
      </w:pPr>
      <w:r>
        <w:rPr>
          <w:rFonts w:ascii="Times New Roman" w:hAnsi="Times New Roman" w:eastAsia="Times New Roman"/>
          <w:sz w:val="24"/>
        </w:rPr>
        <w:t>H1 (latent prevalence prediction): The 14-cell HEXACO 7-typology × gender model, when re-weighted using Statistics Bureau (Ministry of Internal Affairs and Communications) Labor Force Survey 2022 marginals, predicts national past-three-year power-harassment prevalence with mean absolute percentage error (MAPE) ≤ 30% relative to MHLW survey targets across FY2016, FY2020, and FY2023 (4-tier judgment hierarchy: Strict SUCCESS, Standard SUCCESS, PARTIAL SUCCESS, FAILURE).</w:t>
      </w:r>
    </w:p>
    <w:p>
      <w:pPr>
        <w:pStyle w:val="ListBullet"/>
        <w:spacing w:line="480" w:lineRule="auto" w:before="0" w:after="0"/>
      </w:pPr>
      <w:r>
        <w:rPr>
          <w:rFonts w:ascii="Times New Roman" w:hAnsi="Times New Roman" w:eastAsia="Times New Roman"/>
          <w:sz w:val="24"/>
        </w:rPr>
        <w:t>H2 (baseline ordinal hierarchy): The progression of model sophistication from B0 (uniform = MHLW grand mean) through B4 (extended with age and age × cluster interactions) shows monotonically improving MAPE_FY2016, tested via Bonferroni-Holm pairwise inequalities and Page's L (1963) trend test.</w:t>
      </w:r>
    </w:p>
    <w:p>
      <w:pPr>
        <w:pStyle w:val="ListBullet"/>
        <w:spacing w:line="480" w:lineRule="auto" w:before="0" w:after="0"/>
      </w:pPr>
      <w:r>
        <w:rPr>
          <w:rFonts w:ascii="Times New Roman" w:hAnsi="Times New Roman" w:eastAsia="Times New Roman"/>
          <w:sz w:val="24"/>
        </w:rPr>
        <w:t>H3 (centroid concordance): The published centroids (Tokiwa, 2026) fitted in the N = 13,668 sample are reproduced within sampling error in the N = 354 subsample (Tokiwa, 2025).</w:t>
      </w:r>
    </w:p>
    <w:p>
      <w:pPr>
        <w:pStyle w:val="ListBullet"/>
        <w:spacing w:line="480" w:lineRule="auto" w:before="0" w:after="0"/>
      </w:pPr>
      <w:r>
        <w:rPr>
          <w:rFonts w:ascii="Times New Roman" w:hAnsi="Times New Roman" w:eastAsia="Times New Roman"/>
          <w:sz w:val="24"/>
        </w:rPr>
        <w:t>H4 (cell-stratified internal consistency): Per-cell propensity estimates p̂_c are stable across alternative bootstrap procedures within each cell.</w:t>
      </w:r>
    </w:p>
    <w:p>
      <w:pPr>
        <w:pStyle w:val="ListBullet"/>
        <w:spacing w:line="480" w:lineRule="auto" w:before="0" w:after="0"/>
      </w:pPr>
      <w:r>
        <w:rPr>
          <w:rFonts w:ascii="Times New Roman" w:hAnsi="Times New Roman" w:eastAsia="Times New Roman"/>
          <w:sz w:val="24"/>
        </w:rPr>
        <w:t>H5 (gender invariance): The HEXACO-harassment association is qualitatively similar across genders (verified via 14-cell vs 28-cell sensitivity).</w:t>
      </w:r>
    </w:p>
    <w:p>
      <w:pPr>
        <w:pStyle w:val="ListBullet"/>
        <w:spacing w:line="480" w:lineRule="auto" w:before="0" w:after="0"/>
      </w:pPr>
      <w:r>
        <w:rPr>
          <w:rFonts w:ascii="Times New Roman" w:hAnsi="Times New Roman" w:eastAsia="Times New Roman"/>
          <w:sz w:val="24"/>
        </w:rPr>
        <w:t>H6 (cross-domain triangulation): Power and gender harassment scales (Tou et al., 2017; Kobayashi &amp; Tanaka, 2010) yield concordant cluster-level rankings.</w:t>
      </w:r>
    </w:p>
    <w:p>
      <w:pPr>
        <w:pStyle w:val="ListBullet"/>
        <w:spacing w:line="480" w:lineRule="auto" w:before="0" w:after="0"/>
      </w:pPr>
      <w:r>
        <w:rPr>
          <w:rFonts w:ascii="Times New Roman" w:hAnsi="Times New Roman" w:eastAsia="Times New Roman"/>
          <w:sz w:val="24"/>
        </w:rPr>
        <w:t>H7 (counterfactual ordering): The pre-registered ordering Δ_BA = ΔP_B − ΔP_A and Δ_BC = ΔP_B − ΔP_C is tested via the Berger and Hsu (1996) intersection-union test (IUT) at one-sided α = .05; the configuration is classified as REVERSAL, CONFIRMED, PARTIAL, or AMBIGUOUS.</w:t>
      </w:r>
    </w:p>
    <w:p>
      <w:pPr>
        <w:spacing w:line="480" w:lineRule="auto" w:before="0" w:after="0"/>
        <w:jc w:val="left"/>
      </w:pPr>
      <w:r>
        <w:rPr>
          <w:rFonts w:ascii="Times New Roman" w:hAnsi="Times New Roman" w:eastAsia="Times New Roman"/>
          <w:b/>
          <w:sz w:val="24"/>
        </w:rPr>
        <w:t>Contribution and roadmap</w:t>
      </w:r>
    </w:p>
    <w:p>
      <w:pPr>
        <w:spacing w:line="480" w:lineRule="auto" w:before="0" w:after="0"/>
        <w:ind w:firstLine="720"/>
      </w:pPr>
      <w:r>
        <w:rPr>
          <w:rFonts w:ascii="Times New Roman" w:hAnsi="Times New Roman" w:eastAsia="Times New Roman"/>
          <w:sz w:val="24"/>
        </w:rPr>
        <w:t>This study makes four scientific contributions:</w:t>
      </w:r>
    </w:p>
    <w:p>
      <w:pPr>
        <w:spacing w:line="480" w:lineRule="auto" w:before="0" w:after="0"/>
        <w:ind w:firstLine="720"/>
      </w:pPr>
      <w:r>
        <w:rPr>
          <w:rFonts w:ascii="Times New Roman" w:hAnsi="Times New Roman" w:eastAsia="Times New Roman"/>
          <w:sz w:val="24"/>
        </w:rPr>
        <w:t xml:space="preserve">1. </w:t>
      </w:r>
      <w:r>
        <w:rPr>
          <w:rFonts w:ascii="Times New Roman" w:hAnsi="Times New Roman" w:eastAsia="Times New Roman"/>
          <w:b/>
          <w:sz w:val="24"/>
        </w:rPr>
        <w:t>Methodological</w:t>
      </w:r>
      <w:r>
        <w:rPr>
          <w:rFonts w:ascii="Times New Roman" w:hAnsi="Times New Roman" w:eastAsia="Times New Roman"/>
          <w:sz w:val="24"/>
        </w:rPr>
        <w:t xml:space="preserve">: It demonstrates an end-to-end pre-registered counterfactual microsimulation pipeline applicable to workplace-harassment research, with full reproducibility (HDF5 artifacts, fixed seed, Docker container, MIT-licensed code; tiered open data, with public aggregate artifacts and IRB-restricted individual-level access via a documented access-request mechanism). Underlying instruments and centroids are described, respectively, in Tokiwa (2025) and Tokiwa (2026); deposit details are provided in Methods (Data availability). 2. </w:t>
      </w:r>
      <w:r>
        <w:rPr>
          <w:rFonts w:ascii="Times New Roman" w:hAnsi="Times New Roman" w:eastAsia="Times New Roman"/>
          <w:b/>
          <w:sz w:val="24"/>
        </w:rPr>
        <w:t>Empirical</w:t>
      </w:r>
      <w:r>
        <w:rPr>
          <w:rFonts w:ascii="Times New Roman" w:hAnsi="Times New Roman" w:eastAsia="Times New Roman"/>
          <w:sz w:val="24"/>
        </w:rPr>
        <w:t xml:space="preserve">: It provides a quantitative apples-to-apples comparison of person-level and system-level intervention contrasts on Japanese workplace-harassment prevalence, with each counterfactual calibrated to effect sizes drawn from prior meta-analyses. 3. </w:t>
      </w:r>
      <w:r>
        <w:rPr>
          <w:rFonts w:ascii="Times New Roman" w:hAnsi="Times New Roman" w:eastAsia="Times New Roman"/>
          <w:b/>
          <w:sz w:val="24"/>
        </w:rPr>
        <w:t>Theoretical</w:t>
      </w:r>
      <w:r>
        <w:rPr>
          <w:rFonts w:ascii="Times New Roman" w:hAnsi="Times New Roman" w:eastAsia="Times New Roman"/>
          <w:sz w:val="24"/>
        </w:rPr>
        <w:t xml:space="preserve">: It tests the implication of treating HEXACO 7-typology as an intervention target versus as a stratification lens, and reports that the data are consistent with the latter reading. This contributes to ongoing discussions in personality and occupational-health psychology about the conditions under which trait-based prediction translates into trait-based intervention. 4. </w:t>
      </w:r>
      <w:r>
        <w:rPr>
          <w:rFonts w:ascii="Times New Roman" w:hAnsi="Times New Roman" w:eastAsia="Times New Roman"/>
          <w:b/>
          <w:sz w:val="24"/>
        </w:rPr>
        <w:t>Substantive</w:t>
      </w:r>
      <w:r>
        <w:rPr>
          <w:rFonts w:ascii="Times New Roman" w:hAnsi="Times New Roman" w:eastAsia="Times New Roman"/>
          <w:sz w:val="24"/>
        </w:rPr>
        <w:t>: It documents a quantitative ordering — the absolute magnitude of the structural-intervention contrast is approximately five-fold larger than that of the personality-intervention contrast — under realistic prior calibrations of each, and traces the robustness of that ordering across nine pre-registered analytic axes and four cultural-attenuation factors.</w:t>
      </w:r>
    </w:p>
    <w:p>
      <w:pPr>
        <w:spacing w:line="480" w:lineRule="auto" w:before="0" w:after="0"/>
        <w:ind w:firstLine="720"/>
      </w:pPr>
      <w:r>
        <w:rPr>
          <w:rFonts w:ascii="Times New Roman" w:hAnsi="Times New Roman" w:eastAsia="Times New Roman"/>
          <w:sz w:val="24"/>
        </w:rPr>
        <w:t>The remainder of this manuscript is organized as follows. Section 2 details the data sources, sample, and pre-registered analytic procedures, and reports the deposit locations and access conditions for code and data. Section 3 reports the 14-cell propensities, national prevalence aggregation, four-tier H1 classification, baseline comparison, sensitivity sweep, and counterfactual contrasts. Section 4 discusses methodological limitations (reduced-form framing, causal under-identification, heterogeneity neglect, static framing), sketches future agent-based extensions, and develops the research implications of the integrated findings.</w:t>
      </w:r>
    </w:p>
    <w:p>
      <w:r>
        <w:br w:type="page"/>
      </w:r>
    </w:p>
    <w:p>
      <w:pPr>
        <w:spacing w:line="480" w:lineRule="auto" w:before="0" w:after="0"/>
        <w:ind w:firstLine="720"/>
      </w:pPr>
      <w:r>
        <w:rPr>
          <w:rFonts w:ascii="Times New Roman" w:hAnsi="Times New Roman" w:eastAsia="Times New Roman"/>
          <w:sz w:val="24"/>
        </w:rPr>
        <w:t>All procedures were pre-registered prior to data analysis (v2.0 registered and locked 2026-04-30; deposit details and access conditions are given in the Data availability subsection below). The pre-registration consists of a master document together with an accompanying Methods Clarifications Log (locked alongside the v2.0 registration) that records minor specification clarifications introduced during the protocol-development phase; references to specific clarifications below are described inline rather than by their internal index codes. The analysis is fully reproducible from publicly available code and intermediate artifacts in approximately 30 minutes on a single core; all stochastic operations use a fixed random seed.</w:t>
      </w:r>
    </w:p>
    <w:p>
      <w:pPr>
        <w:spacing w:line="480" w:lineRule="auto" w:before="0" w:after="0"/>
        <w:jc w:val="center"/>
      </w:pPr>
      <w:r>
        <w:rPr>
          <w:rFonts w:ascii="Times New Roman" w:hAnsi="Times New Roman" w:eastAsia="Times New Roman"/>
          <w:b/>
          <w:sz w:val="24"/>
        </w:rPr>
        <w:t>Data sources</w:t>
      </w:r>
    </w:p>
    <w:p>
      <w:pPr>
        <w:spacing w:line="480" w:lineRule="auto" w:before="0" w:after="0"/>
        <w:jc w:val="left"/>
      </w:pPr>
      <w:r>
        <w:rPr>
          <w:rFonts w:ascii="Times New Roman" w:hAnsi="Times New Roman" w:eastAsia="Times New Roman"/>
          <w:b/>
          <w:sz w:val="24"/>
        </w:rPr>
        <w:t>Individual-level harassment data (N = 354)</w:t>
      </w:r>
    </w:p>
    <w:p>
      <w:pPr>
        <w:spacing w:line="480" w:lineRule="auto" w:before="0" w:after="0"/>
        <w:ind w:firstLine="720"/>
      </w:pPr>
      <w:r>
        <w:rPr>
          <w:rFonts w:ascii="Times New Roman" w:hAnsi="Times New Roman" w:eastAsia="Times New Roman"/>
          <w:sz w:val="24"/>
        </w:rPr>
        <w:t>We use the Tokiwa harassment preprint dataset (Tokiwa, 2025; IRB-approved), comprising N = 354 Japanese workplace participants who completed the following self-report measures:</w:t>
      </w:r>
    </w:p>
    <w:p>
      <w:pPr>
        <w:pStyle w:val="ListBullet"/>
        <w:spacing w:line="480" w:lineRule="auto" w:before="0" w:after="0"/>
      </w:pPr>
      <w:r>
        <w:rPr>
          <w:rFonts w:ascii="Times New Roman" w:hAnsi="Times New Roman" w:eastAsia="Times New Roman"/>
          <w:sz w:val="24"/>
        </w:rPr>
        <w:t>HEXACO-60 (Wakabayashi, 2014; Japanese adaptation of Ashton &amp; Lee, 2009): 60-item Likert 1-5 scale yielding six domain scores (H, E, X, A, C, O).</w:t>
      </w:r>
    </w:p>
    <w:p>
      <w:pPr>
        <w:pStyle w:val="ListBullet"/>
        <w:spacing w:line="480" w:lineRule="auto" w:before="0" w:after="0"/>
      </w:pPr>
      <w:r>
        <w:rPr>
          <w:rFonts w:ascii="Times New Roman" w:hAnsi="Times New Roman" w:eastAsia="Times New Roman"/>
          <w:sz w:val="24"/>
        </w:rPr>
        <w:t>Dark Triad scales (Machiavellianism, Narcissism, Psychopathy): used in the common-method-variance diagnostic (Stage 5, below) but not in the primary analysis.</w:t>
      </w:r>
    </w:p>
    <w:p>
      <w:pPr>
        <w:pStyle w:val="ListBullet"/>
        <w:spacing w:line="480" w:lineRule="auto" w:before="0" w:after="0"/>
      </w:pPr>
      <w:r>
        <w:rPr>
          <w:rFonts w:ascii="Times New Roman" w:hAnsi="Times New Roman" w:eastAsia="Times New Roman"/>
          <w:sz w:val="24"/>
        </w:rPr>
        <w:t>Workplace Power Harassment Scale (Tou et al., 2017): continuous severity scale measuring past-three-year power-harassment victimization frequency in the participant's workplace.</w:t>
      </w:r>
    </w:p>
    <w:p>
      <w:pPr>
        <w:pStyle w:val="ListBullet"/>
        <w:spacing w:line="480" w:lineRule="auto" w:before="0" w:after="0"/>
      </w:pPr>
      <w:r>
        <w:rPr>
          <w:rFonts w:ascii="Times New Roman" w:hAnsi="Times New Roman" w:eastAsia="Times New Roman"/>
          <w:sz w:val="24"/>
        </w:rPr>
        <w:t>Gender Harassment Scale (Kobayashi &amp; Tanaka, 2010): continuous severity scale; used as triangulation outcome (H6).</w:t>
      </w:r>
    </w:p>
    <w:p>
      <w:pPr>
        <w:pStyle w:val="ListBullet"/>
        <w:spacing w:line="480" w:lineRule="auto" w:before="0" w:after="0"/>
      </w:pPr>
      <w:r>
        <w:rPr>
          <w:rFonts w:ascii="Times New Roman" w:hAnsi="Times New Roman" w:eastAsia="Times New Roman"/>
          <w:sz w:val="24"/>
        </w:rPr>
        <w:t>Demographics: binary self-reported gender (0 = female, 1 = male), age (continuous), prefecture-level region (categorical).</w:t>
      </w:r>
    </w:p>
    <w:p>
      <w:pPr>
        <w:spacing w:line="480" w:lineRule="auto" w:before="0" w:after="0"/>
        <w:jc w:val="left"/>
      </w:pPr>
      <w:r>
        <w:rPr>
          <w:rFonts w:ascii="Times New Roman" w:hAnsi="Times New Roman" w:eastAsia="Times New Roman"/>
          <w:b/>
          <w:sz w:val="24"/>
        </w:rPr>
        <w:t>Cluster centroids (N = 13,668; Tokiwa, 2026)</w:t>
      </w:r>
    </w:p>
    <w:p>
      <w:pPr>
        <w:spacing w:line="480" w:lineRule="auto" w:before="0" w:after="0"/>
        <w:ind w:firstLine="720"/>
      </w:pPr>
      <w:r>
        <w:rPr>
          <w:rFonts w:ascii="Times New Roman" w:hAnsi="Times New Roman" w:eastAsia="Times New Roman"/>
          <w:sz w:val="24"/>
        </w:rPr>
        <w:t xml:space="preserve">Seven HEXACO cluster centroids were taken from the previously published Tokiwa (2026) clustering of N = 13,668 Japanese respondents. Per pre-registration, these centroids are treated as </w:t>
      </w:r>
      <w:r>
        <w:rPr>
          <w:rFonts w:ascii="Times New Roman" w:hAnsi="Times New Roman" w:eastAsia="Times New Roman"/>
          <w:i/>
          <w:sz w:val="24"/>
        </w:rPr>
        <w:t>fixed parameters</w:t>
      </w:r>
      <w:r>
        <w:rPr>
          <w:rFonts w:ascii="Times New Roman" w:hAnsi="Times New Roman" w:eastAsia="Times New Roman"/>
          <w:sz w:val="24"/>
        </w:rPr>
        <w:t>; bootstrap confidence intervals are computed conditional on the centroids and do not propagate centroid-estimation uncertainty. This decision aligns with the inferential target of the present study (causal contrasts within a fixed taxonomy) rather than the joint estimation of the taxonomy itself.</w:t>
      </w:r>
    </w:p>
    <w:p>
      <w:pPr>
        <w:spacing w:line="480" w:lineRule="auto" w:before="0" w:after="0"/>
        <w:jc w:val="left"/>
      </w:pPr>
      <w:r>
        <w:rPr>
          <w:rFonts w:ascii="Times New Roman" w:hAnsi="Times New Roman" w:eastAsia="Times New Roman"/>
          <w:b/>
          <w:sz w:val="24"/>
        </w:rPr>
        <w:t>Population reweighting (Statistics Bureau Labor Force Survey 2022)</w:t>
      </w:r>
    </w:p>
    <w:p>
      <w:pPr>
        <w:spacing w:line="480" w:lineRule="auto" w:before="0" w:after="0"/>
        <w:ind w:firstLine="720"/>
      </w:pPr>
      <w:r>
        <w:rPr>
          <w:rFonts w:ascii="Times New Roman" w:hAnsi="Times New Roman" w:eastAsia="Times New Roman"/>
          <w:sz w:val="24"/>
        </w:rPr>
        <w:t xml:space="preserve">Marginal gender-by-age proportions for the Japanese working population were obtained from the Labor Force Survey Basic Tabulation 2022 Annual Average, published by the Statistics Bureau, Ministry of Internal Affairs and Communications (Statistics Bureau, 2023; PDF retrieved from e-Stat on 2026-04-30 by the investigator and archived at </w:t>
      </w:r>
      <w:r>
        <w:rPr>
          <w:rFonts w:ascii="Times New Roman" w:hAnsi="Times New Roman" w:eastAsia="Times New Roman"/>
          <w:sz w:val="24"/>
        </w:rPr>
        <w:t>simulation/data/</w:t>
      </w:r>
      <w:r>
        <w:rPr>
          <w:rFonts w:ascii="Times New Roman" w:hAnsi="Times New Roman" w:eastAsia="Times New Roman"/>
          <w:sz w:val="24"/>
        </w:rPr>
        <w:t>). We use Table 3 (employed persons by age group) restricted to the employed-persons category, yielding a total of 67.23 million persons with age × gender breakdown {15–64, 65+} × {male, female}. The resulting marginals (F = 0.4498, M = 0.5502) replace the v2.0 Stage 1 placeholder (F = 0.5, M = 0.5).</w:t>
      </w:r>
    </w:p>
    <w:p>
      <w:pPr>
        <w:spacing w:line="480" w:lineRule="auto" w:before="0" w:after="0"/>
        <w:jc w:val="left"/>
      </w:pPr>
      <w:r>
        <w:rPr>
          <w:rFonts w:ascii="Times New Roman" w:hAnsi="Times New Roman" w:eastAsia="Times New Roman"/>
          <w:b/>
          <w:sz w:val="24"/>
        </w:rPr>
        <w:t>MHLW power-harassment victimization targets</w:t>
      </w:r>
    </w:p>
    <w:p>
      <w:pPr>
        <w:spacing w:line="480" w:lineRule="auto" w:before="0" w:after="0"/>
        <w:ind w:firstLine="720"/>
      </w:pPr>
      <w:r>
        <w:rPr>
          <w:rFonts w:ascii="Times New Roman" w:hAnsi="Times New Roman" w:eastAsia="Times New Roman"/>
          <w:sz w:val="24"/>
        </w:rPr>
        <w:t>Past-three-year power-harassment victimization rates from three MHLW Workplace Harassment Surveys (MHLW, 2017, 2021, 2024) serve as external validation targets for H1:</w:t>
      </w:r>
    </w:p>
    <w:p>
      <w:pPr>
        <w:pStyle w:val="ListBullet"/>
        <w:spacing w:line="480" w:lineRule="auto" w:before="0" w:after="0"/>
      </w:pPr>
      <w:r>
        <w:rPr>
          <w:rFonts w:ascii="Times New Roman" w:hAnsi="Times New Roman" w:eastAsia="Times New Roman"/>
          <w:sz w:val="24"/>
        </w:rPr>
        <w:t>FY2016 (32.5%) — pre-law, primary target;</w:t>
      </w:r>
    </w:p>
    <w:p>
      <w:pPr>
        <w:pStyle w:val="ListBullet"/>
        <w:spacing w:line="480" w:lineRule="auto" w:before="0" w:after="0"/>
      </w:pPr>
      <w:r>
        <w:rPr>
          <w:rFonts w:ascii="Times New Roman" w:hAnsi="Times New Roman" w:eastAsia="Times New Roman"/>
          <w:sz w:val="24"/>
        </w:rPr>
        <w:t>FY2020 (31.4%) — transition period, secondary target;</w:t>
      </w:r>
    </w:p>
    <w:p>
      <w:pPr>
        <w:pStyle w:val="ListBullet"/>
        <w:spacing w:line="480" w:lineRule="auto" w:before="0" w:after="0"/>
      </w:pPr>
      <w:r>
        <w:rPr>
          <w:rFonts w:ascii="Times New Roman" w:hAnsi="Times New Roman" w:eastAsia="Times New Roman"/>
          <w:sz w:val="24"/>
        </w:rPr>
        <w:t>FY2023 (19.3%) — post-law, secondary target.</w:t>
      </w:r>
    </w:p>
    <w:p>
      <w:pPr>
        <w:spacing w:line="480" w:lineRule="auto" w:before="0" w:after="0"/>
        <w:jc w:val="center"/>
      </w:pPr>
      <w:r>
        <w:rPr>
          <w:rFonts w:ascii="Times New Roman" w:hAnsi="Times New Roman" w:eastAsia="Times New Roman"/>
          <w:b/>
          <w:sz w:val="24"/>
        </w:rPr>
        <w:t>Pre-registered analytic pipeline</w:t>
      </w:r>
    </w:p>
    <w:p>
      <w:pPr>
        <w:spacing w:line="480" w:lineRule="auto" w:before="0" w:after="0"/>
        <w:ind w:firstLine="720"/>
      </w:pPr>
      <w:r>
        <w:rPr>
          <w:rFonts w:ascii="Times New Roman" w:hAnsi="Times New Roman" w:eastAsia="Times New Roman"/>
          <w:sz w:val="24"/>
        </w:rPr>
        <w:t xml:space="preserve">The pipeline comprises nine stages (0 through 8), each producing a versioned HDF5 artifact under </w:t>
      </w:r>
      <w:r>
        <w:rPr>
          <w:rFonts w:ascii="Times New Roman" w:hAnsi="Times New Roman" w:eastAsia="Times New Roman"/>
          <w:sz w:val="24"/>
        </w:rPr>
        <w:t>output/supplementary/</w:t>
      </w:r>
      <w:r>
        <w:rPr>
          <w:rFonts w:ascii="Times New Roman" w:hAnsi="Times New Roman" w:eastAsia="Times New Roman"/>
          <w:sz w:val="24"/>
        </w:rPr>
        <w:t xml:space="preserve">. Stages 0–2 implement the H1 confirmatory chain; Stages 3–6 implement sensitivity analyses, baseline comparisons, common-method-variance diagnostics, and target trial documentation; Stages 7–8 implement the H7 counterfactual contrasts and transportability sensitivity. Random number streams across stages are isolated via additive seed offsets to ensure independence (see </w:t>
      </w:r>
      <w:r>
        <w:rPr>
          <w:rFonts w:ascii="Times New Roman" w:hAnsi="Times New Roman" w:eastAsia="Times New Roman"/>
          <w:sz w:val="24"/>
        </w:rPr>
        <w:t>code/utils_io.py:make_rng</w:t>
      </w:r>
      <w:r>
        <w:rPr>
          <w:rFonts w:ascii="Times New Roman" w:hAnsi="Times New Roman" w:eastAsia="Times New Roman"/>
          <w:sz w:val="24"/>
        </w:rPr>
        <w:t>).</w:t>
      </w:r>
    </w:p>
    <w:p>
      <w:pPr>
        <w:spacing w:line="480" w:lineRule="auto" w:before="0" w:after="0"/>
        <w:jc w:val="left"/>
      </w:pPr>
      <w:r>
        <w:rPr>
          <w:rFonts w:ascii="Times New Roman" w:hAnsi="Times New Roman" w:eastAsia="Times New Roman"/>
          <w:b/>
          <w:sz w:val="24"/>
        </w:rPr>
        <w:t>Stage 0: Type assignment, cell propensity, and 28-cell empirical Bayes</w:t>
      </w:r>
    </w:p>
    <w:p>
      <w:pPr>
        <w:spacing w:line="480" w:lineRule="auto" w:before="0" w:after="0"/>
        <w:ind w:firstLine="720"/>
      </w:pPr>
      <w:r>
        <w:rPr>
          <w:rFonts w:ascii="Times New Roman" w:hAnsi="Times New Roman" w:eastAsia="Times New Roman"/>
          <w:sz w:val="24"/>
        </w:rPr>
        <w:t>Each individual is assigned to the closest cluster (Euclidean nearest-centroid, primary; soft-assignment with τ ∈ {0.5, 1.0, 2.0} × median nearest-neighbor distance was also computed as a pre-registered sensitivity analysis). Outcomes are binarized at the participant-level mean + 0.5 SD (main; sensitivity at + 0.25 and + 1.0 SD).</w:t>
      </w:r>
    </w:p>
    <w:p>
      <w:pPr>
        <w:spacing w:line="480" w:lineRule="auto" w:before="0" w:after="0"/>
        <w:ind w:firstLine="720"/>
      </w:pPr>
      <w:r>
        <w:rPr>
          <w:rFonts w:ascii="Times New Roman" w:hAnsi="Times New Roman" w:eastAsia="Times New Roman"/>
          <w:sz w:val="24"/>
        </w:rPr>
        <w:t>Per-cell propensity p̂_c = X_c / N_c is computed for each of the 14 cells (7 clusters × 2 genders) for the main analysis, and 28 cells (× 2 roles) for the empirical Bayes sensitivity. The role split for the 28-cell sensitivity is operationalized as the top 15% on a Conscientiousness + 0.5 × eXtraversion composite of HEXACO domain scores (notation: "C + 0.5 × X" where C and X are the HEXACO Conscientiousness and eXtraversion domains, respectively); this composite is exploratory and is included as a robustness probe on the 14-cell main analysis rather than as a confirmatory role-classification step (no published validation of this exact composite for harassment perpetration vs victimization is invoked; the 14-cell results without role stratification remain the headline analysis). Per-cell 95% confidence intervals follow the pre-registered four-step priority cascade:</w:t>
      </w:r>
    </w:p>
    <w:p>
      <w:pPr>
        <w:spacing w:line="480" w:lineRule="auto" w:before="0" w:after="0"/>
        <w:ind w:firstLine="720"/>
      </w:pPr>
      <w:r>
        <w:rPr>
          <w:rFonts w:ascii="Times New Roman" w:hAnsi="Times New Roman" w:eastAsia="Times New Roman"/>
          <w:sz w:val="24"/>
        </w:rPr>
        <w:t xml:space="preserve">1. </w:t>
      </w:r>
      <w:r>
        <w:rPr>
          <w:rFonts w:ascii="Times New Roman" w:hAnsi="Times New Roman" w:eastAsia="Times New Roman"/>
          <w:b/>
          <w:sz w:val="24"/>
        </w:rPr>
        <w:t>Clopper-Pearson</w:t>
      </w:r>
      <w:r>
        <w:rPr>
          <w:rFonts w:ascii="Times New Roman" w:hAnsi="Times New Roman" w:eastAsia="Times New Roman"/>
          <w:sz w:val="24"/>
        </w:rPr>
        <w:t xml:space="preserve"> exact binomial interval for degenerate cells (X_c ∈ {0, N_c}); 2. </w:t>
      </w:r>
      <w:r>
        <w:rPr>
          <w:rFonts w:ascii="Times New Roman" w:hAnsi="Times New Roman" w:eastAsia="Times New Roman"/>
          <w:b/>
          <w:sz w:val="24"/>
        </w:rPr>
        <w:t>BCa</w:t>
      </w:r>
      <w:r>
        <w:rPr>
          <w:rFonts w:ascii="Times New Roman" w:hAnsi="Times New Roman" w:eastAsia="Times New Roman"/>
          <w:sz w:val="24"/>
        </w:rPr>
        <w:t xml:space="preserve"> (Bias-Corrected accelerated; Efron, 1987) with the jackknife acceleration parameter â when |a| ≤ 10; 3. </w:t>
      </w:r>
      <w:r>
        <w:rPr>
          <w:rFonts w:ascii="Times New Roman" w:hAnsi="Times New Roman" w:eastAsia="Times New Roman"/>
          <w:b/>
          <w:sz w:val="24"/>
        </w:rPr>
        <w:t>BC</w:t>
      </w:r>
      <w:r>
        <w:rPr>
          <w:rFonts w:ascii="Times New Roman" w:hAnsi="Times New Roman" w:eastAsia="Times New Roman"/>
          <w:sz w:val="24"/>
        </w:rPr>
        <w:t xml:space="preserve"> (bias-corrected only) when BCa fails or |a| &gt; 10; 4. </w:t>
      </w:r>
      <w:r>
        <w:rPr>
          <w:rFonts w:ascii="Times New Roman" w:hAnsi="Times New Roman" w:eastAsia="Times New Roman"/>
          <w:b/>
          <w:sz w:val="24"/>
        </w:rPr>
        <w:t>Percentile</w:t>
      </w:r>
      <w:r>
        <w:rPr>
          <w:rFonts w:ascii="Times New Roman" w:hAnsi="Times New Roman" w:eastAsia="Times New Roman"/>
          <w:sz w:val="24"/>
        </w:rPr>
        <w:t xml:space="preserve"> as a final fallback.</w:t>
      </w:r>
    </w:p>
    <w:p>
      <w:pPr>
        <w:spacing w:line="480" w:lineRule="auto" w:before="0" w:after="0"/>
        <w:ind w:firstLine="720"/>
      </w:pPr>
      <w:r>
        <w:rPr>
          <w:rFonts w:ascii="Times New Roman" w:hAnsi="Times New Roman" w:eastAsia="Times New Roman"/>
          <w:sz w:val="24"/>
        </w:rPr>
        <w:t>Empirical Bayes shrinkage on 28 cells uses the method-of-moments hyperprior (μ̂, σ̂², α̂, β̂) with three pre-registered rejection triggers: (i) bootstrap-stabilized variance ratio σ̂² / [μ̂(1 − μ̂)] &lt; 0.05; (ii) max(α̂, β̂) &gt; 100; (iii) (α̂ + β̂) / median(N_k) &gt; 5. Per-iteration (α̂, β̂) re-estimation in bootstrap follows Carlin and Louis (2000).</w:t>
      </w:r>
    </w:p>
    <w:p>
      <w:pPr>
        <w:spacing w:line="480" w:lineRule="auto" w:before="0" w:after="0"/>
        <w:jc w:val="left"/>
      </w:pPr>
      <w:r>
        <w:rPr>
          <w:rFonts w:ascii="Times New Roman" w:hAnsi="Times New Roman" w:eastAsia="Times New Roman"/>
          <w:b/>
          <w:sz w:val="24"/>
        </w:rPr>
        <w:t>Stage 1: National prevalence aggregation</w:t>
      </w:r>
    </w:p>
    <w:p>
      <w:pPr>
        <w:spacing w:line="480" w:lineRule="auto" w:before="0" w:after="0"/>
        <w:ind w:firstLine="720"/>
      </w:pPr>
      <w:r>
        <w:rPr>
          <w:rFonts w:ascii="Times New Roman" w:hAnsi="Times New Roman" w:eastAsia="Times New Roman"/>
          <w:sz w:val="24"/>
        </w:rPr>
        <w:t>The national prevalence is computed as the weighted sum P̂_t = Σ_c (p̂_c × W_c) / Σ_c W_c, where W_c is the cluster × gender population weight. Cluster proportions remain at the Tokiwa (2026) values (cluster membership is not measured in the Labour Force Survey, and updating the cluster mass is therefore reserved for future work; this dependency is acknowledged as a pre-registered limitation); only the gender marginal is updated to the 2022 working-population value.</w:t>
      </w:r>
    </w:p>
    <w:p>
      <w:pPr>
        <w:spacing w:line="480" w:lineRule="auto" w:before="0" w:after="0"/>
        <w:jc w:val="left"/>
      </w:pPr>
      <w:r>
        <w:rPr>
          <w:rFonts w:ascii="Times New Roman" w:hAnsi="Times New Roman" w:eastAsia="Times New Roman"/>
          <w:b/>
          <w:sz w:val="24"/>
        </w:rPr>
        <w:t>Stage 2: H1 four-tier classification</w:t>
      </w:r>
    </w:p>
    <w:p>
      <w:pPr>
        <w:spacing w:line="480" w:lineRule="auto" w:before="0" w:after="0"/>
        <w:ind w:firstLine="720"/>
      </w:pPr>
      <w:r>
        <w:rPr>
          <w:rFonts w:ascii="Times New Roman" w:hAnsi="Times New Roman" w:eastAsia="Times New Roman"/>
          <w:sz w:val="24"/>
        </w:rPr>
        <w:t>Per the v2.0 master Section 5.4, the four-tier H1 hierarchy is:</w:t>
      </w:r>
    </w:p>
    <w:p>
      <w:pPr>
        <w:pStyle w:val="ListBullet"/>
        <w:spacing w:line="480" w:lineRule="auto" w:before="0" w:after="0"/>
      </w:pPr>
      <w:r>
        <w:rPr>
          <w:rFonts w:ascii="Times New Roman" w:hAnsi="Times New Roman" w:eastAsia="Times New Roman"/>
          <w:sz w:val="24"/>
        </w:rPr>
        <w:t>Strict SUCCESS: point MAPE_FY2016 ≤ 30% AND CI upper bound ≤ 30%</w:t>
      </w:r>
    </w:p>
    <w:p>
      <w:pPr>
        <w:pStyle w:val="ListBullet"/>
        <w:spacing w:line="480" w:lineRule="auto" w:before="0" w:after="0"/>
      </w:pPr>
      <w:r>
        <w:rPr>
          <w:rFonts w:ascii="Times New Roman" w:hAnsi="Times New Roman" w:eastAsia="Times New Roman"/>
          <w:sz w:val="24"/>
        </w:rPr>
        <w:t>Standard SUCCESS: point MAPE ≤ 30% (CI upper bound &gt; 30% permitted)</w:t>
      </w:r>
    </w:p>
    <w:p>
      <w:pPr>
        <w:pStyle w:val="ListBullet"/>
        <w:spacing w:line="480" w:lineRule="auto" w:before="0" w:after="0"/>
      </w:pPr>
      <w:r>
        <w:rPr>
          <w:rFonts w:ascii="Times New Roman" w:hAnsi="Times New Roman" w:eastAsia="Times New Roman"/>
          <w:sz w:val="24"/>
        </w:rPr>
        <w:t>PARTIAL SUCCESS: 30% &lt; point MAPE ≤ 60%</w:t>
      </w:r>
    </w:p>
    <w:p>
      <w:pPr>
        <w:pStyle w:val="ListBullet"/>
        <w:spacing w:line="480" w:lineRule="auto" w:before="0" w:after="0"/>
      </w:pPr>
      <w:r>
        <w:rPr>
          <w:rFonts w:ascii="Times New Roman" w:hAnsi="Times New Roman" w:eastAsia="Times New Roman"/>
          <w:sz w:val="24"/>
        </w:rPr>
        <w:t>FAILURE: point MAPE &gt; 60%</w:t>
      </w:r>
    </w:p>
    <w:p>
      <w:pPr>
        <w:spacing w:line="480" w:lineRule="auto" w:before="0" w:after="0"/>
        <w:ind w:firstLine="720"/>
      </w:pPr>
      <w:r>
        <w:rPr>
          <w:rFonts w:ascii="Times New Roman" w:hAnsi="Times New Roman" w:eastAsia="Times New Roman"/>
          <w:sz w:val="24"/>
        </w:rPr>
        <w:t>Per the pre-registered headline-bootstrap rule, the national MAPE bootstrap uses B = 10,000; per-cell bootstrap remains at B = 2,000.</w:t>
      </w:r>
    </w:p>
    <w:p>
      <w:pPr>
        <w:spacing w:line="480" w:lineRule="auto" w:before="0" w:after="0"/>
        <w:jc w:val="left"/>
      </w:pPr>
      <w:r>
        <w:rPr>
          <w:rFonts w:ascii="Times New Roman" w:hAnsi="Times New Roman" w:eastAsia="Times New Roman"/>
          <w:b/>
          <w:sz w:val="24"/>
        </w:rPr>
        <w:t>Stage 3: Sensitivity sweep</w:t>
      </w:r>
    </w:p>
    <w:p>
      <w:pPr>
        <w:spacing w:line="480" w:lineRule="auto" w:before="0" w:after="0"/>
        <w:ind w:firstLine="720"/>
      </w:pPr>
      <w:r>
        <w:rPr>
          <w:rFonts w:ascii="Times New Roman" w:hAnsi="Times New Roman" w:eastAsia="Times New Roman"/>
          <w:sz w:val="24"/>
        </w:rPr>
        <w:t>A one-at-a-time (OAT) sensitivity sweep around the locked main configuration is computed over four parameter families with B = 2,000 per row:</w:t>
      </w:r>
    </w:p>
    <w:p>
      <w:pPr>
        <w:spacing w:line="480" w:lineRule="auto" w:before="0" w:after="0"/>
        <w:ind w:firstLine="720"/>
      </w:pPr>
      <w:r>
        <w:rPr>
          <w:rFonts w:ascii="Times New Roman" w:hAnsi="Times New Roman" w:eastAsia="Times New Roman"/>
          <w:sz w:val="24"/>
        </w:rPr>
        <w:t>1. Binarization threshold ∈ {mean + 0.25 SD, mean + 0.5 SD (main), mean + 1.0 SD}; 2. Soft-assignment τ factor ∈ {0.5, 1.0, 2.0} × median NN distance; 3. Empirical Bayes shrinkage scale ∈ {0.5×, 1.0× (main), 2.0×} prior pseudocount; 4. Cluster-proportion mass shift ∈ {−0.10, 0.0 (main), +0.10} (proxy for cluster-mass uncertainty under the pre-registered sensitivity specification; the full Cartesian sweep is deferred to follow-up work due to combinatorial cost).</w:t>
      </w:r>
    </w:p>
    <w:p>
      <w:pPr>
        <w:spacing w:line="480" w:lineRule="auto" w:before="0" w:after="0"/>
        <w:jc w:val="left"/>
      </w:pPr>
      <w:r>
        <w:rPr>
          <w:rFonts w:ascii="Times New Roman" w:hAnsi="Times New Roman" w:eastAsia="Times New Roman"/>
          <w:b/>
          <w:sz w:val="24"/>
        </w:rPr>
        <w:t>Stage 4: Baseline comparison and H2 ordinal trend</w:t>
      </w:r>
    </w:p>
    <w:p>
      <w:pPr>
        <w:spacing w:line="480" w:lineRule="auto" w:before="0" w:after="0"/>
        <w:ind w:firstLine="720"/>
      </w:pPr>
      <w:r>
        <w:rPr>
          <w:rFonts w:ascii="Times New Roman" w:hAnsi="Times New Roman" w:eastAsia="Times New Roman"/>
          <w:sz w:val="24"/>
        </w:rPr>
        <w:t>Five baselines (B0–B4) of increasing sophistication are compared via cell-stratified bootstrap MAPE_FY2016:</w:t>
      </w:r>
    </w:p>
    <w:p>
      <w:pPr>
        <w:pStyle w:val="ListBullet"/>
        <w:spacing w:line="480" w:lineRule="auto" w:before="0" w:after="0"/>
      </w:pPr>
      <w:r>
        <w:rPr>
          <w:rFonts w:ascii="Times New Roman" w:hAnsi="Times New Roman" w:eastAsia="Times New Roman"/>
          <w:sz w:val="24"/>
        </w:rPr>
        <w:t>B0: predicts MHLW grand mean (uniform);</w:t>
      </w:r>
    </w:p>
    <w:p>
      <w:pPr>
        <w:pStyle w:val="ListBullet"/>
        <w:spacing w:line="480" w:lineRule="auto" w:before="0" w:after="0"/>
      </w:pPr>
      <w:r>
        <w:rPr>
          <w:rFonts w:ascii="Times New Roman" w:hAnsi="Times New Roman" w:eastAsia="Times New Roman"/>
          <w:sz w:val="24"/>
        </w:rPr>
        <w:t>B1: gender-only logistic regression;</w:t>
      </w:r>
    </w:p>
    <w:p>
      <w:pPr>
        <w:pStyle w:val="ListBullet"/>
        <w:spacing w:line="480" w:lineRule="auto" w:before="0" w:after="0"/>
      </w:pPr>
      <w:r>
        <w:rPr>
          <w:rFonts w:ascii="Times New Roman" w:hAnsi="Times New Roman" w:eastAsia="Times New Roman"/>
          <w:sz w:val="24"/>
        </w:rPr>
        <w:t>B2: HEXACO 6-domain logistic regression;</w:t>
      </w:r>
    </w:p>
    <w:p>
      <w:pPr>
        <w:pStyle w:val="ListBullet"/>
        <w:spacing w:line="480" w:lineRule="auto" w:before="0" w:after="0"/>
      </w:pPr>
      <w:r>
        <w:rPr>
          <w:rFonts w:ascii="Times New Roman" w:hAnsi="Times New Roman" w:eastAsia="Times New Roman"/>
          <w:sz w:val="24"/>
        </w:rPr>
        <w:t>B3: 14-cell conditional propensity (the main pipeline);</w:t>
      </w:r>
    </w:p>
    <w:p>
      <w:pPr>
        <w:pStyle w:val="ListBullet"/>
        <w:spacing w:line="480" w:lineRule="auto" w:before="0" w:after="0"/>
      </w:pPr>
      <w:r>
        <w:rPr>
          <w:rFonts w:ascii="Times New Roman" w:hAnsi="Times New Roman" w:eastAsia="Times New Roman"/>
          <w:sz w:val="24"/>
        </w:rPr>
        <w:t>B4: extended with age and age × cluster interactions (industry breakdown deferred to follow-up under the cluster-proportion limitation discussed in §Data availability).</w:t>
      </w:r>
    </w:p>
    <w:p>
      <w:pPr>
        <w:spacing w:line="480" w:lineRule="auto" w:before="0" w:after="0"/>
        <w:ind w:firstLine="720"/>
      </w:pPr>
      <w:r>
        <w:rPr>
          <w:rFonts w:ascii="Times New Roman" w:hAnsi="Times New Roman" w:eastAsia="Times New Roman"/>
          <w:sz w:val="24"/>
        </w:rPr>
        <w:t>H2 is tested via the Bonferroni-Holm-corrected family of pairwise inequalities (B0–B1, B1–B2, B2–B3, B3–B4) with a one-sided α = 0.05; Page's L (1963) ordinal trend test is reported as a pre-registered auxiliary statistic.</w:t>
      </w:r>
    </w:p>
    <w:p>
      <w:pPr>
        <w:spacing w:line="480" w:lineRule="auto" w:before="0" w:after="0"/>
        <w:jc w:val="left"/>
      </w:pPr>
      <w:r>
        <w:rPr>
          <w:rFonts w:ascii="Times New Roman" w:hAnsi="Times New Roman" w:eastAsia="Times New Roman"/>
          <w:b/>
          <w:sz w:val="24"/>
        </w:rPr>
        <w:t>Stage 5: Common-method-variance diagnostic</w:t>
      </w:r>
    </w:p>
    <w:p>
      <w:pPr>
        <w:spacing w:line="480" w:lineRule="auto" w:before="0" w:after="0"/>
        <w:ind w:firstLine="720"/>
      </w:pPr>
      <w:r>
        <w:rPr>
          <w:rFonts w:ascii="Times New Roman" w:hAnsi="Times New Roman" w:eastAsia="Times New Roman"/>
          <w:sz w:val="24"/>
        </w:rPr>
        <w:t>CMV is assessed via Harman's single-factor test (Podsakoff et al., 2003) on 11 standardized variables (6 HEXACO domains + 3 Dark Triad + 2 harassment continuous scales) using PCA on standardized inputs after listwise deletion. The 50% first-factor variance threshold demarcates "limited concern" from "concern present." The Lindell and Whitney (2001) marker-variable correction uses HEXACO Openness as the theoretical marker, given its weak theoretical link to harassment outcomes relative to HH/A/E.</w:t>
      </w:r>
    </w:p>
    <w:p>
      <w:pPr>
        <w:spacing w:line="480" w:lineRule="auto" w:before="0" w:after="0"/>
        <w:jc w:val="left"/>
      </w:pPr>
      <w:r>
        <w:rPr>
          <w:rFonts w:ascii="Times New Roman" w:hAnsi="Times New Roman" w:eastAsia="Times New Roman"/>
          <w:b/>
          <w:sz w:val="24"/>
        </w:rPr>
        <w:t>Stage 6: Target trial PICO documentation</w:t>
      </w:r>
    </w:p>
    <w:p>
      <w:pPr>
        <w:spacing w:line="480" w:lineRule="auto" w:before="0" w:after="0"/>
        <w:ind w:firstLine="720"/>
      </w:pPr>
      <w:r>
        <w:rPr>
          <w:rFonts w:ascii="Times New Roman" w:hAnsi="Times New Roman" w:eastAsia="Times New Roman"/>
          <w:sz w:val="24"/>
        </w:rPr>
        <w:t>Stage 6 produces a metadata-only artifact documenting the target trial (Hernán &amp; Robins, 2016, 2020) PICO and four identifying assumptions: consistency, exchangeability, positivity, and SUTVA (strengthened with the Hudgens and Halloran (2008) peer-effect framework, per pre-registration).</w:t>
      </w:r>
    </w:p>
    <w:p>
      <w:pPr>
        <w:spacing w:line="480" w:lineRule="auto" w:before="0" w:after="0"/>
        <w:jc w:val="left"/>
      </w:pPr>
      <w:r>
        <w:rPr>
          <w:rFonts w:ascii="Times New Roman" w:hAnsi="Times New Roman" w:eastAsia="Times New Roman"/>
          <w:b/>
          <w:sz w:val="24"/>
        </w:rPr>
        <w:t>Stage 7: Counterfactual ΔP_A, ΔP_B, ΔP_C and H7 IUT</w:t>
      </w:r>
    </w:p>
    <w:p>
      <w:pPr>
        <w:spacing w:line="480" w:lineRule="auto" w:before="0" w:after="0"/>
        <w:ind w:firstLine="720"/>
      </w:pPr>
      <w:r>
        <w:rPr>
          <w:rFonts w:ascii="Times New Roman" w:hAnsi="Times New Roman" w:eastAsia="Times New Roman"/>
          <w:sz w:val="24"/>
        </w:rPr>
        <w:t>Counterfactual A applies a +0.3 SD shift to HEXACO H, A, and E for every individual, recomputes nearest-centroid cluster membership, recomputes per-cell propensity, re-aggregates via Stage 1 weights, and produces ΔP_A as the per-bootstrap difference between counterfactual and baseline national prevalence. Per the pre-registered positivity criterion, positivity is quantitatively diagnosed via the cell-level ratio ρ_{c, x = A} = (counterfactual cell N) / (observed cell N); cells with ρ &lt; 0.10 are flagged, and the intervention is downgraded from confirmatory to exploratory if flagged_weight ≥ 20%.</w:t>
      </w:r>
    </w:p>
    <w:p>
      <w:pPr>
        <w:spacing w:line="480" w:lineRule="auto" w:before="0" w:after="0"/>
        <w:ind w:firstLine="720"/>
      </w:pPr>
      <w:r>
        <w:rPr>
          <w:rFonts w:ascii="Times New Roman" w:hAnsi="Times New Roman" w:eastAsia="Times New Roman"/>
          <w:sz w:val="24"/>
        </w:rPr>
        <w:t xml:space="preserve">Counterfactual B applies a +0.40 SD shift in Honesty-Humility </w:t>
      </w:r>
      <w:r>
        <w:rPr>
          <w:rFonts w:ascii="Times New Roman" w:hAnsi="Times New Roman" w:eastAsia="Times New Roman"/>
          <w:b/>
          <w:sz w:val="24"/>
        </w:rPr>
        <w:t>only to individuals whose baseline nearest-centroid cluster is already in the pre-registered low-prevalence target set {0, 4, 6}</w:t>
      </w:r>
      <w:r>
        <w:rPr>
          <w:rFonts w:ascii="Times New Roman" w:hAnsi="Times New Roman" w:eastAsia="Times New Roman"/>
          <w:sz w:val="24"/>
        </w:rPr>
        <w:t>, leaving all other individuals' HEXACO scores unchanged. Following the targeted shift, all individuals are re-classified by nearest-centroid on the post-intervention HEXACO matrix, per-cell propensities are re-computed from the realized binary outcomes within the new cell assignments, and ΔP_B is reported per-bootstrap as the difference between counterfactual and baseline national prevalence. This operationalization matches the pre-registered specification "HH := HH + δ_B × SD(HH) for individuals in Cluster ∈ {0, 4, 6}" and follows Pearl's (2009) do-operator notation, which formalizes the targeted indicator "if i ∈ Cluster {0, 4, 6}; HH_i otherwise". Positivity is computed via ρ_{c, B} = (count of individuals reassigned into target Cluster c after the shift) / (count of individuals in target Cluster c at baseline) and is downgraded by the same positivity rule as Counterfactual A.</w:t>
      </w:r>
    </w:p>
    <w:p>
      <w:pPr>
        <w:spacing w:line="480" w:lineRule="auto" w:before="0" w:after="0"/>
        <w:ind w:firstLine="720"/>
      </w:pPr>
      <w:r>
        <w:rPr>
          <w:rFonts w:ascii="Times New Roman" w:hAnsi="Times New Roman" w:eastAsia="Times New Roman"/>
          <w:sz w:val="24"/>
        </w:rPr>
        <w:t>Counterfactual C multiplies cell-level propensity by 0.80 uniformly across all cells while leaving HEXACO scores unchanged. The 20% reduction is calibrated against three meta-analyses (Escartín, 2016; Hodgins et al., 2014; Salin, 2021) and the MHLW FY2016–FY2023 natural experiment (32.5% → 19.3%; −13.2 pp ≈ −40.6% relative). Positivity for C is trivially preserved (ρ ≡ 1) per pre-registration.</w:t>
      </w:r>
    </w:p>
    <w:p>
      <w:pPr>
        <w:spacing w:line="480" w:lineRule="auto" w:before="0" w:after="0"/>
        <w:ind w:firstLine="720"/>
      </w:pPr>
      <w:r>
        <w:rPr>
          <w:rFonts w:ascii="Times New Roman" w:hAnsi="Times New Roman" w:eastAsia="Times New Roman"/>
          <w:sz w:val="24"/>
        </w:rPr>
        <w:t>The H7 intersection-union test (Berger &amp; Hsu, 1996) computes one-sided 95% lower bounds L_BA and L_BC for ΔP_B − ΔP_A and ΔP_B − ΔP_C, respectively, with bootstrap-resampled cell data (B = 2,000). The configuration is classified per the pre-registered priority cascade:</w:t>
      </w:r>
    </w:p>
    <w:p>
      <w:pPr>
        <w:pStyle w:val="ListBullet"/>
        <w:spacing w:line="480" w:lineRule="auto" w:before="0" w:after="0"/>
      </w:pPr>
      <w:r>
        <w:rPr>
          <w:rFonts w:ascii="Times New Roman" w:hAnsi="Times New Roman" w:eastAsia="Times New Roman"/>
          <w:sz w:val="24"/>
        </w:rPr>
        <w:t>REVERSAL (priority 1): point ΔP_B &lt; point ΔP_A OR point ΔP_B &lt; point ΔP_C (B is dominated by A or C in point estimate, indicating that the pre-registered hypothesis ordering ΔP_B &gt; {ΔP_A, ΔP_C} is reversed);</w:t>
      </w:r>
    </w:p>
    <w:p>
      <w:pPr>
        <w:pStyle w:val="ListBullet"/>
        <w:spacing w:line="480" w:lineRule="auto" w:before="0" w:after="0"/>
      </w:pPr>
      <w:r>
        <w:rPr>
          <w:rFonts w:ascii="Times New Roman" w:hAnsi="Times New Roman" w:eastAsia="Times New Roman"/>
          <w:sz w:val="24"/>
        </w:rPr>
        <w:t>CONFIRMED: L_BA &gt; 0 AND L_BC &gt; 0 (B dominates both A and C in CI lower bound);</w:t>
      </w:r>
    </w:p>
    <w:p>
      <w:pPr>
        <w:pStyle w:val="ListBullet"/>
        <w:spacing w:line="480" w:lineRule="auto" w:before="0" w:after="0"/>
      </w:pPr>
      <w:r>
        <w:rPr>
          <w:rFonts w:ascii="Times New Roman" w:hAnsi="Times New Roman" w:eastAsia="Times New Roman"/>
          <w:sz w:val="24"/>
        </w:rPr>
        <w:t>PARTIAL: exactly one of L_BA, L_BC &gt; 0;</w:t>
      </w:r>
    </w:p>
    <w:p>
      <w:pPr>
        <w:pStyle w:val="ListBullet"/>
        <w:spacing w:line="480" w:lineRule="auto" w:before="0" w:after="0"/>
      </w:pPr>
      <w:r>
        <w:rPr>
          <w:rFonts w:ascii="Times New Roman" w:hAnsi="Times New Roman" w:eastAsia="Times New Roman"/>
          <w:sz w:val="24"/>
        </w:rPr>
        <w:t>AMBIGUOUS: neither lower bound &gt; 0 (CIs allow zero or reversal).</w:t>
      </w:r>
    </w:p>
    <w:p>
      <w:pPr>
        <w:spacing w:line="480" w:lineRule="auto" w:before="0" w:after="0"/>
        <w:jc w:val="left"/>
      </w:pPr>
      <w:r>
        <w:rPr>
          <w:rFonts w:ascii="Times New Roman" w:hAnsi="Times New Roman" w:eastAsia="Times New Roman"/>
          <w:b/>
          <w:sz w:val="24"/>
        </w:rPr>
        <w:t>Stage 8: Transportability factor sweep</w:t>
      </w:r>
    </w:p>
    <w:p>
      <w:pPr>
        <w:spacing w:line="480" w:lineRule="auto" w:before="0" w:after="0"/>
        <w:ind w:firstLine="720"/>
      </w:pPr>
      <w:r>
        <w:rPr>
          <w:rFonts w:ascii="Times New Roman" w:hAnsi="Times New Roman" w:eastAsia="Times New Roman"/>
          <w:sz w:val="24"/>
        </w:rPr>
        <w:t>Per the pre-registered cultural-attenuation sweep, the bootstrap distribution of each ΔP_x is multiplied by a transportability factor F ∈ {0.3, 0.5, 0.7, 1.0}, anchored as:</w:t>
      </w:r>
    </w:p>
    <w:p>
      <w:pPr>
        <w:pStyle w:val="ListBullet"/>
        <w:spacing w:line="480" w:lineRule="auto" w:before="0" w:after="0"/>
      </w:pPr>
      <w:r>
        <w:rPr>
          <w:rFonts w:ascii="Times New Roman" w:hAnsi="Times New Roman" w:eastAsia="Times New Roman"/>
          <w:sz w:val="24"/>
        </w:rPr>
        <w:t>F = 0.3: Conservative cross-cultural attenuation (worst-case anchor; supported by Power et al. 2013 cross-continent variability findings);</w:t>
      </w:r>
    </w:p>
    <w:p>
      <w:pPr>
        <w:pStyle w:val="ListBullet"/>
        <w:spacing w:line="480" w:lineRule="auto" w:before="0" w:after="0"/>
      </w:pPr>
      <w:r>
        <w:rPr>
          <w:rFonts w:ascii="Times New Roman" w:hAnsi="Times New Roman" w:eastAsia="Times New Roman"/>
          <w:sz w:val="24"/>
        </w:rPr>
        <w:t>F = 0.5: Nielsen et al. (2017) Asia/Oceania attenuation expected (r = .16 vs European r = .33);</w:t>
      </w:r>
    </w:p>
    <w:p>
      <w:pPr>
        <w:pStyle w:val="ListBullet"/>
        <w:spacing w:line="480" w:lineRule="auto" w:before="0" w:after="0"/>
      </w:pPr>
      <w:r>
        <w:rPr>
          <w:rFonts w:ascii="Times New Roman" w:hAnsi="Times New Roman" w:eastAsia="Times New Roman"/>
          <w:sz w:val="24"/>
        </w:rPr>
        <w:t>F = 0.7: Mild attenuation (intermediate);</w:t>
      </w:r>
    </w:p>
    <w:p>
      <w:pPr>
        <w:pStyle w:val="ListBullet"/>
        <w:spacing w:line="480" w:lineRule="auto" w:before="0" w:after="0"/>
      </w:pPr>
      <w:r>
        <w:rPr>
          <w:rFonts w:ascii="Times New Roman" w:hAnsi="Times New Roman" w:eastAsia="Times New Roman"/>
          <w:sz w:val="24"/>
        </w:rPr>
        <w:t>F = 1.0: Reference (no attenuation).</w:t>
      </w:r>
    </w:p>
    <w:p>
      <w:pPr>
        <w:spacing w:line="480" w:lineRule="auto" w:before="0" w:after="0"/>
        <w:ind w:firstLine="720"/>
      </w:pPr>
      <w:r>
        <w:rPr>
          <w:rFonts w:ascii="Times New Roman" w:hAnsi="Times New Roman" w:eastAsia="Times New Roman"/>
          <w:sz w:val="24"/>
        </w:rPr>
        <w:t>H7 is re-classified per attenuated factor to verify robustness.</w:t>
      </w:r>
    </w:p>
    <w:p>
      <w:pPr>
        <w:spacing w:line="480" w:lineRule="auto" w:before="0" w:after="0"/>
        <w:jc w:val="center"/>
      </w:pPr>
      <w:r>
        <w:rPr>
          <w:rFonts w:ascii="Times New Roman" w:hAnsi="Times New Roman" w:eastAsia="Times New Roman"/>
          <w:b/>
          <w:sz w:val="24"/>
        </w:rPr>
        <w:t>Reproducibility</w:t>
      </w:r>
    </w:p>
    <w:p>
      <w:pPr>
        <w:spacing w:line="480" w:lineRule="auto" w:before="0" w:after="0"/>
        <w:ind w:firstLine="720"/>
      </w:pPr>
      <w:r>
        <w:rPr>
          <w:rFonts w:ascii="Times New Roman" w:hAnsi="Times New Roman" w:eastAsia="Times New Roman"/>
          <w:sz w:val="24"/>
        </w:rPr>
        <w:t xml:space="preserve">All stochastic operations use a fixed random seed. HDF5 artifacts at each stage include the seed, the pre-registration version identifier, the OSF DOI, and stage-specific provenance metadata as root-level attributes, enabling full audit-trail reconstruction. Verification hashes for all artifacts are computed via the project's verification script and compared against the committed reference-hash registry. A Docker container and a </w:t>
      </w:r>
      <w:r>
        <w:rPr>
          <w:rFonts w:ascii="Times New Roman" w:hAnsi="Times New Roman" w:eastAsia="Times New Roman"/>
          <w:sz w:val="24"/>
        </w:rPr>
        <w:t>reproduce</w:t>
      </w:r>
      <w:r>
        <w:rPr>
          <w:rFonts w:ascii="Times New Roman" w:hAnsi="Times New Roman" w:eastAsia="Times New Roman"/>
          <w:sz w:val="24"/>
        </w:rPr>
        <w:t xml:space="preserve"> Makefile target encapsulate the full pipeline. A 56-test pytest suite (including the loader tests for the Statistics Bureau Labour Force Survey data activated under Phase 1) guards against regression in core utilities.</w:t>
      </w:r>
    </w:p>
    <w:p>
      <w:pPr>
        <w:spacing w:line="480" w:lineRule="auto" w:before="0" w:after="0"/>
        <w:jc w:val="center"/>
      </w:pPr>
      <w:r>
        <w:rPr>
          <w:rFonts w:ascii="Times New Roman" w:hAnsi="Times New Roman" w:eastAsia="Times New Roman"/>
          <w:b/>
          <w:sz w:val="24"/>
        </w:rPr>
        <w:t>Software and statistical environment</w:t>
      </w:r>
    </w:p>
    <w:p>
      <w:pPr>
        <w:spacing w:line="480" w:lineRule="auto" w:before="0" w:after="0"/>
        <w:ind w:firstLine="720"/>
      </w:pPr>
      <w:r>
        <w:rPr>
          <w:rFonts w:ascii="Times New Roman" w:hAnsi="Times New Roman" w:eastAsia="Times New Roman"/>
          <w:sz w:val="24"/>
        </w:rPr>
        <w:t xml:space="preserve">Analysis was conducted in Python 3.11.15 using NumPy 2.x, SciPy 1.x, pandas 2.x, scikit-learn 1.x, h5py 3.x, and statsmodels 0.14.x (full pinned versions in the project's </w:t>
      </w:r>
      <w:r>
        <w:rPr>
          <w:rFonts w:ascii="Times New Roman" w:hAnsi="Times New Roman" w:eastAsia="Times New Roman"/>
          <w:sz w:val="24"/>
        </w:rPr>
        <w:t>pyproject.toml</w:t>
      </w:r>
      <w:r>
        <w:rPr>
          <w:rFonts w:ascii="Times New Roman" w:hAnsi="Times New Roman" w:eastAsia="Times New Roman"/>
          <w:sz w:val="24"/>
        </w:rPr>
        <w:t>). All code is publicly available under MIT license at the project's GitHub repository and archived at OSF (DOI 10.17605/OSF.IO/3Y54U). The pre-registration is locked at OSF (DOI 10.17605/OSF.IO/3Y54U), and the v1.1 → v2.0 public diff document and v2.0 Methods Clarifications Log are hosted alongside the registration.</w:t>
      </w:r>
    </w:p>
    <w:p>
      <w:pPr>
        <w:spacing w:line="480" w:lineRule="auto" w:before="0" w:after="0"/>
        <w:jc w:val="center"/>
      </w:pPr>
      <w:r>
        <w:rPr>
          <w:rFonts w:ascii="Times New Roman" w:hAnsi="Times New Roman" w:eastAsia="Times New Roman"/>
          <w:b/>
          <w:sz w:val="24"/>
        </w:rPr>
        <w:t>Data availability</w:t>
      </w:r>
    </w:p>
    <w:p>
      <w:pPr>
        <w:spacing w:line="480" w:lineRule="auto" w:before="0" w:after="0"/>
        <w:ind w:firstLine="720"/>
      </w:pPr>
      <w:r>
        <w:rPr>
          <w:rFonts w:ascii="Times New Roman" w:hAnsi="Times New Roman" w:eastAsia="Times New Roman"/>
          <w:sz w:val="24"/>
        </w:rPr>
        <w:t>This study's data and reproducibility artifacts are deposited on a tiered basis:</w:t>
      </w:r>
    </w:p>
    <w:p>
      <w:pPr>
        <w:pStyle w:val="ListBullet"/>
        <w:spacing w:line="480" w:lineRule="auto" w:before="0" w:after="0"/>
      </w:pPr>
      <w:r>
        <w:rPr>
          <w:rFonts w:ascii="Times New Roman" w:hAnsi="Times New Roman" w:eastAsia="Times New Roman"/>
          <w:sz w:val="24"/>
        </w:rPr>
        <w:t>Public tier (no access request required): Stage 0–8 supplementary HDF5 artifacts, Figures 1–6 (PNG/PDF/SVG), the canonical numerical record (canonical_numbers.md), and SHA-256 reference hashes (reference_hashes.json) are openly available at the OSF v2.0 working project (osf.io/3hxz6) under v2.0/v2.0_supplementary.tar.gz, and reproducible from source via make reproduce on the GitHub repository.</w:t>
      </w:r>
    </w:p>
    <w:p>
      <w:pPr>
        <w:pStyle w:val="ListBullet"/>
        <w:spacing w:line="480" w:lineRule="auto" w:before="0" w:after="0"/>
      </w:pPr>
      <w:r>
        <w:rPr>
          <w:rFonts w:ascii="Times New Roman" w:hAnsi="Times New Roman" w:eastAsia="Times New Roman"/>
          <w:sz w:val="24"/>
        </w:rPr>
        <w:t>Restricted tier (IRB-approved access request): The N = 354 individual-level harassment dataset is hosted in a Private OSF component (v2.0 IRB-Restricted Individual Data) linked from the v2.0 working project. The parent project's public Wiki at https://osf.io/3hxz6/wiki/home/ documents the four data-use terms (research-purpose-bounded use; non-redistribution; required citation of Tokiwa, 2025, and the v2.0 OSF DOI; IRB acknowledgement) and the request procedure (click "Request access" on the Component page; provide institutional affiliation, IRB approval ID, and intended research use). Approved requesters are added as read-only contributors within 14 days. Methodological details of the underlying survey are reported in Tokiwa (2025).</w:t>
      </w:r>
    </w:p>
    <w:p>
      <w:pPr>
        <w:pStyle w:val="ListBullet"/>
        <w:spacing w:line="480" w:lineRule="auto" w:before="0" w:after="0"/>
      </w:pPr>
      <w:r>
        <w:rPr>
          <w:rFonts w:ascii="Times New Roman" w:hAnsi="Times New Roman" w:eastAsia="Times New Roman"/>
          <w:sz w:val="24"/>
        </w:rPr>
        <w:t>External public sources: The Statistics Bureau (MIC) Labour Force Survey 2022 Annual Average tabulations used for population reweighting are publicly archived in the repository at simulation/data/mic_labor_force_2022.csv (provenance: e-Stat retrieval 2026-04-30; the file was previously named mhlw_labor_force_2022.csv and renamed to reflect the correct MIC provenance).</w:t>
      </w:r>
    </w:p>
    <w:p>
      <w:pPr>
        <w:pStyle w:val="ListBullet"/>
        <w:spacing w:line="480" w:lineRule="auto" w:before="0" w:after="0"/>
      </w:pPr>
      <w:r>
        <w:rPr>
          <w:rFonts w:ascii="Times New Roman" w:hAnsi="Times New Roman" w:eastAsia="Times New Roman"/>
          <w:sz w:val="24"/>
        </w:rPr>
        <w:t>Pre-registration: v2.0 master document, v1.1 → v2.0 public diff, and the Section 6.5 Level 1 Methods Clarifications Log are publicly accessible at the v2.0 registration page (osf.io/3y54u, DOI 10.17605/OSF.IO/3Y54U).</w:t>
      </w:r>
    </w:p>
    <w:p>
      <w:r>
        <w:br w:type="page"/>
      </w:r>
    </w:p>
    <w:p>
      <w:pPr>
        <w:spacing w:line="480" w:lineRule="auto" w:before="0" w:after="0"/>
        <w:ind w:firstLine="720"/>
      </w:pPr>
      <w:r>
        <w:rPr>
          <w:rFonts w:ascii="Times New Roman" w:hAnsi="Times New Roman" w:eastAsia="Times New Roman"/>
          <w:sz w:val="24"/>
        </w:rPr>
        <w:t>All results are reported using the locked random seed. Numerical values are reproduced verbatim from the HDF5 artifacts produced by the pipeline; deposit locations and SHA-256 verification hashes are documented in Methods (Data availability).</w:t>
      </w:r>
    </w:p>
    <w:p>
      <w:pPr>
        <w:spacing w:line="480" w:lineRule="auto" w:before="0" w:after="0"/>
        <w:jc w:val="center"/>
      </w:pPr>
      <w:r>
        <w:rPr>
          <w:rFonts w:ascii="Times New Roman" w:hAnsi="Times New Roman" w:eastAsia="Times New Roman"/>
          <w:b/>
          <w:sz w:val="24"/>
        </w:rPr>
        <w:t>Sample characteristics and 14-cell propensity (Stage 0)</w:t>
      </w:r>
    </w:p>
    <w:p>
      <w:pPr>
        <w:spacing w:line="480" w:lineRule="auto" w:before="0" w:after="0"/>
        <w:ind w:firstLine="720"/>
      </w:pPr>
      <w:r>
        <w:rPr>
          <w:rFonts w:ascii="Times New Roman" w:hAnsi="Times New Roman" w:eastAsia="Times New Roman"/>
          <w:sz w:val="24"/>
        </w:rPr>
        <w:t>The N = 354 sample was assigned to 14 cells (7 HEXACO clusters × 2 genders) via Euclidean nearest-centroid hard-assignment, using the Tokiwa (2026) centroids as fixed parameters. Cell sizes ranged from 10 to 70 individuals (median = 18), with no degenerate (N = 0) cells. Cell-level past-three-year power-harassment victimization rates ranged from 0.000 to 0.400 (mean across cells = 0.181).</w:t>
      </w:r>
    </w:p>
    <w:p>
      <w:pPr>
        <w:spacing w:line="480" w:lineRule="auto" w:before="0" w:after="0"/>
        <w:ind w:firstLine="720"/>
      </w:pPr>
      <w:r>
        <w:rPr>
          <w:rFonts w:ascii="Times New Roman" w:hAnsi="Times New Roman" w:eastAsia="Times New Roman"/>
          <w:sz w:val="24"/>
        </w:rPr>
        <w:t xml:space="preserve">Per-cell 95% confidence intervals followed the four-step priority cascade described in Methods (Stage 0 specification). Of the 14 cells, </w:t>
      </w:r>
      <w:r>
        <w:rPr>
          <w:rFonts w:ascii="Times New Roman" w:hAnsi="Times New Roman" w:eastAsia="Times New Roman"/>
          <w:b/>
          <w:sz w:val="24"/>
        </w:rPr>
        <w:t>13 were resolved at the BCa stage</w:t>
      </w:r>
      <w:r>
        <w:rPr>
          <w:rFonts w:ascii="Times New Roman" w:hAnsi="Times New Roman" w:eastAsia="Times New Roman"/>
          <w:sz w:val="24"/>
        </w:rPr>
        <w:t xml:space="preserve"> and </w:t>
      </w:r>
      <w:r>
        <w:rPr>
          <w:rFonts w:ascii="Times New Roman" w:hAnsi="Times New Roman" w:eastAsia="Times New Roman"/>
          <w:b/>
          <w:sz w:val="24"/>
        </w:rPr>
        <w:t>1 cell (cluster × gender index 11; N = 12, X = 0) was resolved at the Clopper-Pearson stage</w:t>
      </w:r>
      <w:r>
        <w:rPr>
          <w:rFonts w:ascii="Times New Roman" w:hAnsi="Times New Roman" w:eastAsia="Times New Roman"/>
          <w:sz w:val="24"/>
        </w:rPr>
        <w:t xml:space="preserve"> as the cascade prescribes for degenerate cells (X_c ∈ {0, N_c}). No cells required the BC or Percentile fallbacks, confirming that the pre-registered priority cascade operates as designed for the realized data structure.</w:t>
      </w:r>
    </w:p>
    <w:p>
      <w:pPr>
        <w:spacing w:line="480" w:lineRule="auto" w:before="0" w:after="0"/>
        <w:jc w:val="center"/>
      </w:pPr>
      <w:r>
        <w:rPr>
          <w:rFonts w:ascii="Times New Roman" w:hAnsi="Times New Roman" w:eastAsia="Times New Roman"/>
          <w:b/>
          <w:sz w:val="24"/>
        </w:rPr>
        <w:t>National prevalence and H1 four-tier classification (Stages 1–2)</w:t>
      </w:r>
    </w:p>
    <w:p>
      <w:pPr>
        <w:spacing w:line="480" w:lineRule="auto" w:before="0" w:after="0"/>
        <w:ind w:firstLine="720"/>
      </w:pPr>
      <w:r>
        <w:rPr>
          <w:rFonts w:ascii="Times New Roman" w:hAnsi="Times New Roman" w:eastAsia="Times New Roman"/>
          <w:sz w:val="24"/>
        </w:rPr>
        <w:t>After re-weighting with Statistics Bureau (MIC) Labor Force Survey 2022 marginals (F = 0.4498, M = 0.5502; total = 67.23 million employed persons), the model-based national past-three-year power-harassment prevalence was P̂ = 0.1744 (point estimate), corresponding to 17.44%.</w:t>
      </w:r>
    </w:p>
    <w:p>
      <w:pPr>
        <w:spacing w:line="480" w:lineRule="auto" w:before="0" w:after="0"/>
        <w:ind w:firstLine="720"/>
      </w:pPr>
      <w:r>
        <w:rPr>
          <w:rFonts w:ascii="Times New Roman" w:hAnsi="Times New Roman" w:eastAsia="Times New Roman"/>
          <w:sz w:val="24"/>
        </w:rPr>
        <w:t>Per the pre-registered four-tier judgment hierarchy, the H1 results across three MHLW validation periods are summarized in Table 1.</w:t>
      </w:r>
    </w:p>
    <w:p>
      <w:pPr>
        <w:spacing w:line="480" w:lineRule="auto" w:before="0" w:after="0"/>
        <w:ind w:firstLine="720"/>
      </w:pPr>
      <w:r>
        <w:rPr>
          <w:rFonts w:ascii="Times New Roman" w:hAnsi="Times New Roman" w:eastAsia="Times New Roman"/>
          <w:b/>
          <w:sz w:val="24"/>
        </w:rPr>
        <w:t>Table 1.</w:t>
      </w:r>
      <w:r>
        <w:rPr>
          <w:rFonts w:ascii="Times New Roman" w:hAnsi="Times New Roman" w:eastAsia="Times New Roman"/>
          <w:sz w:val="24"/>
        </w:rPr>
        <w:t xml:space="preserve"> Mean Absolute Percentage Error (MAPE) of model-based national prevalence against MHLW survey targets, with bootstrap 95% confidence intervals (B = 10,000 cell-stratified). Primary outcome: power harassment.</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rFonts w:ascii="Times New Roman" w:hAnsi="Times New Roman" w:eastAsia="Times New Roman"/>
                <w:b/>
                <w:sz w:val="22"/>
              </w:rPr>
              <w:t>Period (MHLW)</w:t>
            </w:r>
          </w:p>
        </w:tc>
        <w:tc>
          <w:tcPr>
            <w:tcW w:type="dxa" w:w="1560"/>
          </w:tcPr>
          <w:p>
            <w:r>
              <w:rPr>
                <w:rFonts w:ascii="Times New Roman" w:hAnsi="Times New Roman" w:eastAsia="Times New Roman"/>
                <w:b/>
                <w:sz w:val="22"/>
              </w:rPr>
              <w:t>Observed</w:t>
            </w:r>
          </w:p>
        </w:tc>
        <w:tc>
          <w:tcPr>
            <w:tcW w:type="dxa" w:w="1560"/>
          </w:tcPr>
          <w:p>
            <w:r>
              <w:rPr>
                <w:rFonts w:ascii="Times New Roman" w:hAnsi="Times New Roman" w:eastAsia="Times New Roman"/>
                <w:b/>
                <w:sz w:val="22"/>
              </w:rPr>
              <w:t>Predicted</w:t>
            </w:r>
          </w:p>
        </w:tc>
        <w:tc>
          <w:tcPr>
            <w:tcW w:type="dxa" w:w="1560"/>
          </w:tcPr>
          <w:p>
            <w:r>
              <w:rPr>
                <w:rFonts w:ascii="Times New Roman" w:hAnsi="Times New Roman" w:eastAsia="Times New Roman"/>
                <w:b/>
                <w:sz w:val="22"/>
              </w:rPr>
              <w:t>MAPE</w:t>
            </w:r>
          </w:p>
        </w:tc>
        <w:tc>
          <w:tcPr>
            <w:tcW w:type="dxa" w:w="1560"/>
          </w:tcPr>
          <w:p>
            <w:r>
              <w:rPr>
                <w:rFonts w:ascii="Times New Roman" w:hAnsi="Times New Roman" w:eastAsia="Times New Roman"/>
                <w:b/>
                <w:sz w:val="22"/>
              </w:rPr>
              <w:t>95% CI</w:t>
            </w:r>
          </w:p>
        </w:tc>
        <w:tc>
          <w:tcPr>
            <w:tcW w:type="dxa" w:w="1560"/>
          </w:tcPr>
          <w:p>
            <w:r>
              <w:rPr>
                <w:rFonts w:ascii="Times New Roman" w:hAnsi="Times New Roman" w:eastAsia="Times New Roman"/>
                <w:b/>
                <w:sz w:val="22"/>
              </w:rPr>
              <w:t>Tier</w:t>
            </w:r>
          </w:p>
        </w:tc>
      </w:tr>
      <w:tr>
        <w:tc>
          <w:tcPr>
            <w:tcW w:type="dxa" w:w="1560"/>
          </w:tcPr>
          <w:p>
            <w:r>
              <w:rPr>
                <w:rFonts w:ascii="Times New Roman" w:hAnsi="Times New Roman" w:eastAsia="Times New Roman"/>
                <w:b w:val="0"/>
                <w:sz w:val="22"/>
              </w:rPr>
              <w:t>FY2016 (32.5%, primary)</w:t>
            </w:r>
          </w:p>
        </w:tc>
        <w:tc>
          <w:tcPr>
            <w:tcW w:type="dxa" w:w="1560"/>
          </w:tcPr>
          <w:p>
            <w:r>
              <w:rPr>
                <w:rFonts w:ascii="Times New Roman" w:hAnsi="Times New Roman" w:eastAsia="Times New Roman"/>
                <w:b w:val="0"/>
                <w:sz w:val="22"/>
              </w:rPr>
              <w:t>0.325</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46.34%</w:t>
            </w:r>
          </w:p>
        </w:tc>
        <w:tc>
          <w:tcPr>
            <w:tcW w:type="dxa" w:w="1560"/>
          </w:tcPr>
          <w:p>
            <w:r>
              <w:rPr>
                <w:rFonts w:ascii="Times New Roman" w:hAnsi="Times New Roman" w:eastAsia="Times New Roman"/>
                <w:b w:val="0"/>
                <w:sz w:val="22"/>
              </w:rPr>
              <w:t>[32.36, 59.30]</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FY2020 (31.4%, secondary)</w:t>
            </w:r>
          </w:p>
        </w:tc>
        <w:tc>
          <w:tcPr>
            <w:tcW w:type="dxa" w:w="1560"/>
          </w:tcPr>
          <w:p>
            <w:r>
              <w:rPr>
                <w:rFonts w:ascii="Times New Roman" w:hAnsi="Times New Roman" w:eastAsia="Times New Roman"/>
                <w:b w:val="0"/>
                <w:sz w:val="22"/>
              </w:rPr>
              <w:t>0.314</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44.46%</w:t>
            </w:r>
          </w:p>
        </w:tc>
        <w:tc>
          <w:tcPr>
            <w:tcW w:type="dxa" w:w="1560"/>
          </w:tcPr>
          <w:p>
            <w:r>
              <w:rPr>
                <w:rFonts w:ascii="Times New Roman" w:hAnsi="Times New Roman" w:eastAsia="Times New Roman"/>
                <w:b w:val="0"/>
                <w:sz w:val="22"/>
              </w:rPr>
              <w:t>[30.00, 57.88]</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FY2023 (19.3%, secondary)</w:t>
            </w:r>
          </w:p>
        </w:tc>
        <w:tc>
          <w:tcPr>
            <w:tcW w:type="dxa" w:w="1560"/>
          </w:tcPr>
          <w:p>
            <w:r>
              <w:rPr>
                <w:rFonts w:ascii="Times New Roman" w:hAnsi="Times New Roman" w:eastAsia="Times New Roman"/>
                <w:b w:val="0"/>
                <w:sz w:val="22"/>
              </w:rPr>
              <w:t>0.193</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9.65%</w:t>
            </w:r>
          </w:p>
        </w:tc>
        <w:tc>
          <w:tcPr>
            <w:tcW w:type="dxa" w:w="1560"/>
          </w:tcPr>
          <w:p>
            <w:r>
              <w:rPr>
                <w:rFonts w:ascii="Times New Roman" w:hAnsi="Times New Roman" w:eastAsia="Times New Roman"/>
                <w:b w:val="0"/>
                <w:sz w:val="22"/>
              </w:rPr>
              <w:t>[0.52, 31.52]</w:t>
            </w:r>
          </w:p>
        </w:tc>
        <w:tc>
          <w:tcPr>
            <w:tcW w:type="dxa" w:w="1560"/>
          </w:tcPr>
          <w:p>
            <w:r>
              <w:rPr>
                <w:rFonts w:ascii="Times New Roman" w:hAnsi="Times New Roman" w:eastAsia="Times New Roman"/>
                <w:b w:val="0"/>
                <w:sz w:val="22"/>
              </w:rPr>
              <w:t>Standard SUCCESS</w:t>
            </w:r>
          </w:p>
        </w:tc>
      </w:tr>
    </w:tbl>
    <w:p>
      <w:pPr>
        <w:spacing w:line="480" w:lineRule="auto" w:before="0" w:after="0"/>
      </w:pPr>
    </w:p>
    <w:p>
      <w:pPr>
        <w:spacing w:line="480" w:lineRule="auto" w:before="0" w:after="0"/>
        <w:ind w:firstLine="720"/>
      </w:pPr>
      <w:r>
        <w:rPr>
          <w:rFonts w:ascii="Times New Roman" w:hAnsi="Times New Roman" w:eastAsia="Times New Roman"/>
          <w:sz w:val="24"/>
        </w:rPr>
        <w:t xml:space="preserve">The FY2016 primary classification is </w:t>
      </w:r>
      <w:r>
        <w:rPr>
          <w:rFonts w:ascii="Times New Roman" w:hAnsi="Times New Roman" w:eastAsia="Times New Roman"/>
          <w:b/>
          <w:sz w:val="24"/>
        </w:rPr>
        <w:t>PARTIAL SUCCESS</w:t>
      </w:r>
      <w:r>
        <w:rPr>
          <w:rFonts w:ascii="Times New Roman" w:hAnsi="Times New Roman" w:eastAsia="Times New Roman"/>
          <w:sz w:val="24"/>
        </w:rPr>
        <w:t xml:space="preserve"> (point MAPE &gt; 30%, ≤ 60%). However, the post-Power-Harassment-Prevention-Law FY2023 result attains </w:t>
      </w:r>
      <w:r>
        <w:rPr>
          <w:rFonts w:ascii="Times New Roman" w:hAnsi="Times New Roman" w:eastAsia="Times New Roman"/>
          <w:b/>
          <w:sz w:val="24"/>
        </w:rPr>
        <w:t>Standard SUCCESS</w:t>
      </w:r>
      <w:r>
        <w:rPr>
          <w:rFonts w:ascii="Times New Roman" w:hAnsi="Times New Roman" w:eastAsia="Times New Roman"/>
          <w:sz w:val="24"/>
        </w:rPr>
        <w:t xml:space="preserve"> with a point MAPE of 9.65% (well below the 30% threshold for both Strict and Standard tiers); the 95% CI upper bound of 31.52% narrowly exceeds the Strict criterion (≤ 30%) by 1.52 pp, placing the classification at Standard rather than Strict. Interpretation of this temporal heterogeneity is deferred to the Discussion (Principal findings).</w:t>
      </w:r>
    </w:p>
    <w:p>
      <w:pPr>
        <w:spacing w:line="480" w:lineRule="auto" w:before="0" w:after="0"/>
        <w:jc w:val="center"/>
      </w:pPr>
      <w:r>
        <w:rPr>
          <w:rFonts w:ascii="Times New Roman" w:hAnsi="Times New Roman" w:eastAsia="Times New Roman"/>
          <w:b/>
          <w:sz w:val="24"/>
        </w:rPr>
        <w:t>Sensitivity sweep (Stage 3)</w:t>
      </w:r>
    </w:p>
    <w:p>
      <w:pPr>
        <w:spacing w:line="480" w:lineRule="auto" w:before="0" w:after="0"/>
        <w:ind w:firstLine="720"/>
      </w:pPr>
      <w:r>
        <w:rPr>
          <w:rFonts w:ascii="Times New Roman" w:hAnsi="Times New Roman" w:eastAsia="Times New Roman"/>
          <w:sz w:val="24"/>
        </w:rPr>
        <w:t>The pre-registered one-at-a-time sweep over four parameter families produced 13 rows. Results are presented in Table 2.</w:t>
      </w:r>
    </w:p>
    <w:p>
      <w:pPr>
        <w:spacing w:line="480" w:lineRule="auto" w:before="0" w:after="0"/>
        <w:ind w:firstLine="720"/>
      </w:pPr>
      <w:r>
        <w:rPr>
          <w:rFonts w:ascii="Times New Roman" w:hAnsi="Times New Roman" w:eastAsia="Times New Roman"/>
          <w:b/>
          <w:sz w:val="24"/>
        </w:rPr>
        <w:t>Table 2.</w:t>
      </w:r>
      <w:r>
        <w:rPr>
          <w:rFonts w:ascii="Times New Roman" w:hAnsi="Times New Roman" w:eastAsia="Times New Roman"/>
          <w:sz w:val="24"/>
        </w:rPr>
        <w:t xml:space="preserve"> OAT sensitivity sweep around main configuration. B = 2,000 per row, percentile CI on FY2016 MAPE. The baseline row uses the locked v2.0 main configuration; all other rows hold remaining parameters at main while varying the indicated family.</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Family</w:t>
            </w:r>
          </w:p>
        </w:tc>
        <w:tc>
          <w:tcPr>
            <w:tcW w:type="dxa" w:w="1872"/>
          </w:tcPr>
          <w:p>
            <w:r>
              <w:rPr>
                <w:rFonts w:ascii="Times New Roman" w:hAnsi="Times New Roman" w:eastAsia="Times New Roman"/>
                <w:b/>
                <w:sz w:val="22"/>
              </w:rPr>
              <w:t>Value</w:t>
            </w:r>
          </w:p>
        </w:tc>
        <w:tc>
          <w:tcPr>
            <w:tcW w:type="dxa" w:w="1872"/>
          </w:tcPr>
          <w:p>
            <w:r>
              <w:rPr>
                <w:rFonts w:ascii="Times New Roman" w:hAnsi="Times New Roman" w:eastAsia="Times New Roman"/>
                <w:b/>
                <w:sz w:val="22"/>
              </w:rPr>
              <w:t>MAPE</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Tier</w:t>
            </w:r>
          </w:p>
        </w:tc>
      </w:tr>
      <w:tr>
        <w:tc>
          <w:tcPr>
            <w:tcW w:type="dxa" w:w="1872"/>
          </w:tcPr>
          <w:p>
            <w:r>
              <w:rPr>
                <w:rFonts w:ascii="Times New Roman" w:hAnsi="Times New Roman" w:eastAsia="Times New Roman"/>
                <w:b w:val="0"/>
                <w:sz w:val="22"/>
              </w:rPr>
              <w:t>Baseline</w:t>
            </w:r>
          </w:p>
        </w:tc>
        <w:tc>
          <w:tcPr>
            <w:tcW w:type="dxa" w:w="1872"/>
          </w:tcPr>
          <w:p>
            <w:r>
              <w:rPr>
                <w:rFonts w:ascii="Times New Roman" w:hAnsi="Times New Roman" w:eastAsia="Times New Roman"/>
                <w:b w:val="0"/>
                <w:sz w:val="22"/>
              </w:rPr>
              <w:t>main_v2.0</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[31.5, 59.5]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mean+0.25 SD</w:t>
            </w:r>
          </w:p>
        </w:tc>
        <w:tc>
          <w:tcPr>
            <w:tcW w:type="dxa" w:w="1872"/>
          </w:tcPr>
          <w:p>
            <w:r>
              <w:rPr>
                <w:rFonts w:ascii="Times New Roman" w:hAnsi="Times New Roman" w:eastAsia="Times New Roman"/>
                <w:b w:val="0"/>
                <w:sz w:val="22"/>
              </w:rPr>
              <w:t>29.58%</w:t>
            </w:r>
          </w:p>
        </w:tc>
        <w:tc>
          <w:tcPr>
            <w:tcW w:type="dxa" w:w="1872"/>
          </w:tcPr>
          <w:p>
            <w:r>
              <w:rPr>
                <w:rFonts w:ascii="Times New Roman" w:hAnsi="Times New Roman" w:eastAsia="Times New Roman"/>
                <w:b w:val="0"/>
                <w:sz w:val="22"/>
              </w:rPr>
              <w:t>[13.7, 45.2]</w:t>
            </w:r>
          </w:p>
        </w:tc>
        <w:tc>
          <w:tcPr>
            <w:tcW w:type="dxa" w:w="1872"/>
          </w:tcPr>
          <w:p>
            <w:r>
              <w:rPr>
                <w:rFonts w:ascii="Times New Roman" w:hAnsi="Times New Roman" w:eastAsia="Times New Roman"/>
                <w:b w:val="0"/>
                <w:sz w:val="22"/>
              </w:rPr>
              <w:t>Standard SUCCESS</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mean+0.5 SD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[30.5,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mean+1.0 SD</w:t>
            </w:r>
          </w:p>
        </w:tc>
        <w:tc>
          <w:tcPr>
            <w:tcW w:type="dxa" w:w="1872"/>
          </w:tcPr>
          <w:p>
            <w:r>
              <w:rPr>
                <w:rFonts w:ascii="Times New Roman" w:hAnsi="Times New Roman" w:eastAsia="Times New Roman"/>
                <w:b w:val="0"/>
                <w:sz w:val="22"/>
              </w:rPr>
              <w:t>48.95%</w:t>
            </w:r>
          </w:p>
        </w:tc>
        <w:tc>
          <w:tcPr>
            <w:tcW w:type="dxa" w:w="1872"/>
          </w:tcPr>
          <w:p>
            <w:r>
              <w:rPr>
                <w:rFonts w:ascii="Times New Roman" w:hAnsi="Times New Roman" w:eastAsia="Times New Roman"/>
                <w:b w:val="0"/>
                <w:sz w:val="22"/>
              </w:rPr>
              <w:t>[34.0, 62.4]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45.04%</w:t>
            </w:r>
          </w:p>
        </w:tc>
        <w:tc>
          <w:tcPr>
            <w:tcW w:type="dxa" w:w="1872"/>
          </w:tcPr>
          <w:p>
            <w:r>
              <w:rPr>
                <w:rFonts w:ascii="Times New Roman" w:hAnsi="Times New Roman" w:eastAsia="Times New Roman"/>
                <w:b w:val="0"/>
                <w:sz w:val="22"/>
              </w:rPr>
              <w:t>[43.8, 46.3]</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45.22%</w:t>
            </w:r>
          </w:p>
        </w:tc>
        <w:tc>
          <w:tcPr>
            <w:tcW w:type="dxa" w:w="1872"/>
          </w:tcPr>
          <w:p>
            <w:r>
              <w:rPr>
                <w:rFonts w:ascii="Times New Roman" w:hAnsi="Times New Roman" w:eastAsia="Times New Roman"/>
                <w:b w:val="0"/>
                <w:sz w:val="22"/>
              </w:rPr>
              <w:t>[43.9, 46.5]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2.0×</w:t>
            </w:r>
          </w:p>
        </w:tc>
        <w:tc>
          <w:tcPr>
            <w:tcW w:type="dxa" w:w="1872"/>
          </w:tcPr>
          <w:p>
            <w:r>
              <w:rPr>
                <w:rFonts w:ascii="Times New Roman" w:hAnsi="Times New Roman" w:eastAsia="Times New Roman"/>
                <w:b w:val="0"/>
                <w:sz w:val="22"/>
              </w:rPr>
              <w:t>45.24%</w:t>
            </w:r>
          </w:p>
        </w:tc>
        <w:tc>
          <w:tcPr>
            <w:tcW w:type="dxa" w:w="1872"/>
          </w:tcPr>
          <w:p>
            <w:r>
              <w:rPr>
                <w:rFonts w:ascii="Times New Roman" w:hAnsi="Times New Roman" w:eastAsia="Times New Roman"/>
                <w:b w:val="0"/>
                <w:sz w:val="22"/>
              </w:rPr>
              <w:t>[43.9, 46.4]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0.5× pseudocount</w:t>
            </w:r>
          </w:p>
        </w:tc>
        <w:tc>
          <w:tcPr>
            <w:tcW w:type="dxa" w:w="1872"/>
          </w:tcPr>
          <w:p>
            <w:r>
              <w:rPr>
                <w:rFonts w:ascii="Times New Roman" w:hAnsi="Times New Roman" w:eastAsia="Times New Roman"/>
                <w:b w:val="0"/>
                <w:sz w:val="22"/>
              </w:rPr>
              <w:t>45.90%</w:t>
            </w:r>
          </w:p>
        </w:tc>
        <w:tc>
          <w:tcPr>
            <w:tcW w:type="dxa" w:w="1872"/>
          </w:tcPr>
          <w:p>
            <w:r>
              <w:rPr>
                <w:rFonts w:ascii="Times New Roman" w:hAnsi="Times New Roman" w:eastAsia="Times New Roman"/>
                <w:b w:val="0"/>
                <w:sz w:val="22"/>
              </w:rPr>
              <w:t>[32.1, 58.7]</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1.0×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59.0]</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2.0× pseudocount</w:t>
            </w:r>
          </w:p>
        </w:tc>
        <w:tc>
          <w:tcPr>
            <w:tcW w:type="dxa" w:w="1872"/>
          </w:tcPr>
          <w:p>
            <w:r>
              <w:rPr>
                <w:rFonts w:ascii="Times New Roman" w:hAnsi="Times New Roman" w:eastAsia="Times New Roman"/>
                <w:b w:val="0"/>
                <w:sz w:val="22"/>
              </w:rPr>
              <w:t>45.80%</w:t>
            </w:r>
          </w:p>
        </w:tc>
        <w:tc>
          <w:tcPr>
            <w:tcW w:type="dxa" w:w="1872"/>
          </w:tcPr>
          <w:p>
            <w:r>
              <w:rPr>
                <w:rFonts w:ascii="Times New Roman" w:hAnsi="Times New Roman" w:eastAsia="Times New Roman"/>
                <w:b w:val="0"/>
                <w:sz w:val="22"/>
              </w:rPr>
              <w:t>[32.3, 58.9]</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56.47%</w:t>
            </w:r>
          </w:p>
        </w:tc>
        <w:tc>
          <w:tcPr>
            <w:tcW w:type="dxa" w:w="1872"/>
          </w:tcPr>
          <w:p>
            <w:r>
              <w:rPr>
                <w:rFonts w:ascii="Times New Roman" w:hAnsi="Times New Roman" w:eastAsia="Times New Roman"/>
                <w:b w:val="0"/>
                <w:sz w:val="22"/>
              </w:rPr>
              <w:t>[42.8, 68.8]</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34.55%</w:t>
            </w:r>
          </w:p>
        </w:tc>
        <w:tc>
          <w:tcPr>
            <w:tcW w:type="dxa" w:w="1872"/>
          </w:tcPr>
          <w:p>
            <w:r>
              <w:rPr>
                <w:rFonts w:ascii="Times New Roman" w:hAnsi="Times New Roman" w:eastAsia="Times New Roman"/>
                <w:b w:val="0"/>
                <w:sz w:val="22"/>
              </w:rPr>
              <w:t>[16.6, 51.8]</w:t>
            </w:r>
          </w:p>
        </w:tc>
        <w:tc>
          <w:tcPr>
            <w:tcW w:type="dxa" w:w="1872"/>
          </w:tcPr>
          <w:p>
            <w:r>
              <w:rPr>
                <w:rFonts w:ascii="Times New Roman" w:hAnsi="Times New Roman" w:eastAsia="Times New Roman"/>
                <w:b w:val="0"/>
                <w:sz w:val="22"/>
              </w:rPr>
              <w:t>PARTIAL</w:t>
            </w:r>
          </w:p>
        </w:tc>
      </w:tr>
    </w:tbl>
    <w:p>
      <w:pPr>
        <w:spacing w:line="480" w:lineRule="auto" w:before="0" w:after="0"/>
      </w:pPr>
    </w:p>
    <w:p>
      <w:pPr>
        <w:spacing w:line="480" w:lineRule="auto" w:before="0" w:after="0"/>
        <w:ind w:firstLine="720"/>
      </w:pPr>
      <w:r>
        <w:rPr>
          <w:rFonts w:ascii="Times New Roman" w:hAnsi="Times New Roman" w:eastAsia="Times New Roman"/>
          <w:sz w:val="24"/>
        </w:rPr>
        <w:t>Two parameter families show substantial sensitivity:</w:t>
      </w:r>
    </w:p>
    <w:p>
      <w:pPr>
        <w:pStyle w:val="ListBullet"/>
        <w:spacing w:line="480" w:lineRule="auto" w:before="0" w:after="0"/>
      </w:pPr>
      <w:r>
        <w:rPr>
          <w:rFonts w:ascii="Times New Roman" w:hAnsi="Times New Roman" w:eastAsia="Times New Roman"/>
          <w:sz w:val="24"/>
        </w:rPr>
        <w:t>Binarization threshold (range: 29.58% to 48.95%): a more lenient threshold (+0.25 SD) yields Standard SUCCESS classification, suggesting that the MHLW survey may operationalize harassment more inclusively than the +0.5 SD main threshold;</w:t>
      </w:r>
    </w:p>
    <w:p>
      <w:pPr>
        <w:pStyle w:val="ListBullet"/>
        <w:spacing w:line="480" w:lineRule="auto" w:before="0" w:after="0"/>
      </w:pPr>
      <w:r>
        <w:rPr>
          <w:rFonts w:ascii="Times New Roman" w:hAnsi="Times New Roman" w:eastAsia="Times New Roman"/>
          <w:sz w:val="24"/>
        </w:rPr>
        <w:t>Cluster proportion mass shift (range: 34.55% to 56.47%): underscores the centrality of the Tokiwa (2026) cluster proportions to the conclusion (acknowledged as a pre-registered limitation, since cluster membership is not measured in the Labour Force Survey and the cluster mass cannot be re-weighted).</w:t>
      </w:r>
    </w:p>
    <w:p>
      <w:pPr>
        <w:spacing w:line="480" w:lineRule="auto" w:before="0" w:after="0"/>
        <w:ind w:firstLine="720"/>
      </w:pPr>
      <w:r>
        <w:rPr>
          <w:rFonts w:ascii="Times New Roman" w:hAnsi="Times New Roman" w:eastAsia="Times New Roman"/>
          <w:sz w:val="24"/>
        </w:rPr>
        <w:t>Two parameter families show negligible sensitivity:</w:t>
      </w:r>
    </w:p>
    <w:p>
      <w:pPr>
        <w:pStyle w:val="ListBullet"/>
        <w:spacing w:line="480" w:lineRule="auto" w:before="0" w:after="0"/>
      </w:pPr>
      <w:r>
        <w:rPr>
          <w:rFonts w:ascii="Times New Roman" w:hAnsi="Times New Roman" w:eastAsia="Times New Roman"/>
          <w:sz w:val="24"/>
        </w:rPr>
        <w:t>Soft-assignment τ (range: 45.04% to 45.24%; 0.20 percentage-point spread): cluster-membership-fuzziness is essentially irrelevant to the conclusion;</w:t>
      </w:r>
    </w:p>
    <w:p>
      <w:pPr>
        <w:pStyle w:val="ListBullet"/>
        <w:spacing w:line="480" w:lineRule="auto" w:before="0" w:after="0"/>
      </w:pPr>
      <w:r>
        <w:rPr>
          <w:rFonts w:ascii="Times New Roman" w:hAnsi="Times New Roman" w:eastAsia="Times New Roman"/>
          <w:sz w:val="24"/>
        </w:rPr>
        <w:t>Empirical Bayes shrinkage scale (range: 45.51% to 45.90%; 0.40 percentage-point spread): the empirical Bayes prior-pseudocount magnitude is negligible.</w:t>
      </w:r>
    </w:p>
    <w:p>
      <w:pPr>
        <w:spacing w:line="480" w:lineRule="auto" w:before="0" w:after="0"/>
        <w:ind w:firstLine="720"/>
      </w:pPr>
      <w:r>
        <w:rPr>
          <w:rFonts w:ascii="Times New Roman" w:hAnsi="Times New Roman" w:eastAsia="Times New Roman"/>
          <w:sz w:val="24"/>
        </w:rPr>
        <w:t>The two stable axes provide affirmative robustness evidence; the two sensitive axes circumscribe the assumptions on which the conclusion explicitly depends.</w:t>
      </w:r>
    </w:p>
    <w:p>
      <w:pPr>
        <w:spacing w:line="480" w:lineRule="auto" w:before="0" w:after="0"/>
        <w:jc w:val="center"/>
      </w:pPr>
      <w:r>
        <w:rPr>
          <w:rFonts w:ascii="Times New Roman" w:hAnsi="Times New Roman" w:eastAsia="Times New Roman"/>
          <w:b/>
          <w:sz w:val="24"/>
        </w:rPr>
        <w:t>Baseline comparison and H2 ordinal trend (Stage 4)</w:t>
      </w:r>
    </w:p>
    <w:p>
      <w:pPr>
        <w:spacing w:line="480" w:lineRule="auto" w:before="0" w:after="0"/>
        <w:ind w:firstLine="720"/>
      </w:pPr>
      <w:r>
        <w:rPr>
          <w:rFonts w:ascii="Times New Roman" w:hAnsi="Times New Roman" w:eastAsia="Times New Roman"/>
          <w:sz w:val="24"/>
        </w:rPr>
        <w:t>The pre-registered B0–B4 baseline ladder yielded the following MAPE_FY2016 estimates (Table 3).</w:t>
      </w:r>
    </w:p>
    <w:p>
      <w:pPr>
        <w:spacing w:line="480" w:lineRule="auto" w:before="0" w:after="0"/>
        <w:ind w:firstLine="720"/>
      </w:pPr>
      <w:r>
        <w:rPr>
          <w:rFonts w:ascii="Times New Roman" w:hAnsi="Times New Roman" w:eastAsia="Times New Roman"/>
          <w:b/>
          <w:sz w:val="24"/>
        </w:rPr>
        <w:t>Table 3.</w:t>
      </w:r>
      <w:r>
        <w:rPr>
          <w:rFonts w:ascii="Times New Roman" w:hAnsi="Times New Roman" w:eastAsia="Times New Roman"/>
          <w:sz w:val="24"/>
        </w:rPr>
        <w:t xml:space="preserve"> Baseline comparison for H2. B = 2,000 cell-stratified bootstrap. Note that B0 (uniform-MHLW-grand-mean prediction) trivially attains MAPE = 0 by construction and is included only as the lower-bound reference. Baselines B0, B1, and B3 are deterministic functions of the realized cell counts under the cell-stratified bootstrap (their aggregation rules are closed-form given the cell partitions) and therefore yield zero-width bootstrap CIs by construction; B2 and B4 re-fit logistic-regression coefficients within each bootstrap replicate and accordingly show non-degenerate CIs.</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Baseline</w:t>
            </w:r>
          </w:p>
        </w:tc>
        <w:tc>
          <w:tcPr>
            <w:tcW w:type="dxa" w:w="2340"/>
          </w:tcPr>
          <w:p>
            <w:r>
              <w:rPr>
                <w:rFonts w:ascii="Times New Roman" w:hAnsi="Times New Roman" w:eastAsia="Times New Roman"/>
                <w:b/>
                <w:sz w:val="22"/>
              </w:rPr>
              <w:t>Description</w:t>
            </w:r>
          </w:p>
        </w:tc>
        <w:tc>
          <w:tcPr>
            <w:tcW w:type="dxa" w:w="2340"/>
          </w:tcPr>
          <w:p>
            <w:r>
              <w:rPr>
                <w:rFonts w:ascii="Times New Roman" w:hAnsi="Times New Roman" w:eastAsia="Times New Roman"/>
                <w:b/>
                <w:sz w:val="22"/>
              </w:rPr>
              <w:t>MAPE</w:t>
            </w:r>
          </w:p>
        </w:tc>
        <w:tc>
          <w:tcPr>
            <w:tcW w:type="dxa" w:w="2340"/>
          </w:tcPr>
          <w:p>
            <w:r>
              <w:rPr>
                <w:rFonts w:ascii="Times New Roman" w:hAnsi="Times New Roman" w:eastAsia="Times New Roman"/>
                <w:b/>
                <w:sz w:val="22"/>
              </w:rPr>
              <w:t>95% CI</w:t>
            </w:r>
          </w:p>
        </w:tc>
      </w:tr>
      <w:tr>
        <w:tc>
          <w:tcPr>
            <w:tcW w:type="dxa" w:w="2340"/>
          </w:tcPr>
          <w:p>
            <w:r>
              <w:rPr>
                <w:rFonts w:ascii="Times New Roman" w:hAnsi="Times New Roman" w:eastAsia="Times New Roman"/>
                <w:b w:val="0"/>
                <w:sz w:val="22"/>
              </w:rPr>
              <w:t>B0</w:t>
            </w:r>
          </w:p>
        </w:tc>
        <w:tc>
          <w:tcPr>
            <w:tcW w:type="dxa" w:w="2340"/>
          </w:tcPr>
          <w:p>
            <w:r>
              <w:rPr>
                <w:rFonts w:ascii="Times New Roman" w:hAnsi="Times New Roman" w:eastAsia="Times New Roman"/>
                <w:b w:val="0"/>
                <w:sz w:val="22"/>
              </w:rPr>
              <w:t>Uniform = MHLW grand mean</w:t>
            </w:r>
          </w:p>
        </w:tc>
        <w:tc>
          <w:tcPr>
            <w:tcW w:type="dxa" w:w="2340"/>
          </w:tcPr>
          <w:p>
            <w:r>
              <w:rPr>
                <w:rFonts w:ascii="Times New Roman" w:hAnsi="Times New Roman" w:eastAsia="Times New Roman"/>
                <w:b w:val="0"/>
                <w:sz w:val="22"/>
              </w:rPr>
              <w:t>0.00%</w:t>
            </w:r>
          </w:p>
        </w:tc>
        <w:tc>
          <w:tcPr>
            <w:tcW w:type="dxa" w:w="2340"/>
          </w:tcPr>
          <w:p>
            <w:r>
              <w:rPr>
                <w:rFonts w:ascii="Times New Roman" w:hAnsi="Times New Roman" w:eastAsia="Times New Roman"/>
                <w:b w:val="0"/>
                <w:sz w:val="22"/>
              </w:rPr>
              <w:t>[0.00, 0.00] (deterministic)</w:t>
            </w:r>
          </w:p>
        </w:tc>
      </w:tr>
      <w:tr>
        <w:tc>
          <w:tcPr>
            <w:tcW w:type="dxa" w:w="2340"/>
          </w:tcPr>
          <w:p>
            <w:r>
              <w:rPr>
                <w:rFonts w:ascii="Times New Roman" w:hAnsi="Times New Roman" w:eastAsia="Times New Roman"/>
                <w:b w:val="0"/>
                <w:sz w:val="22"/>
              </w:rPr>
              <w:t>B1</w:t>
            </w:r>
          </w:p>
        </w:tc>
        <w:tc>
          <w:tcPr>
            <w:tcW w:type="dxa" w:w="2340"/>
          </w:tcPr>
          <w:p>
            <w:r>
              <w:rPr>
                <w:rFonts w:ascii="Times New Roman" w:hAnsi="Times New Roman" w:eastAsia="Times New Roman"/>
                <w:b w:val="0"/>
                <w:sz w:val="22"/>
              </w:rPr>
              <w:t>Gender logistic</w:t>
            </w:r>
          </w:p>
        </w:tc>
        <w:tc>
          <w:tcPr>
            <w:tcW w:type="dxa" w:w="2340"/>
          </w:tcPr>
          <w:p>
            <w:r>
              <w:rPr>
                <w:rFonts w:ascii="Times New Roman" w:hAnsi="Times New Roman" w:eastAsia="Times New Roman"/>
                <w:b w:val="0"/>
                <w:sz w:val="22"/>
              </w:rPr>
              <w:t>46.02%</w:t>
            </w:r>
          </w:p>
        </w:tc>
        <w:tc>
          <w:tcPr>
            <w:tcW w:type="dxa" w:w="2340"/>
          </w:tcPr>
          <w:p>
            <w:r>
              <w:rPr>
                <w:rFonts w:ascii="Times New Roman" w:hAnsi="Times New Roman" w:eastAsia="Times New Roman"/>
                <w:b w:val="0"/>
                <w:sz w:val="22"/>
              </w:rPr>
              <w:t>[46.02, 46.02] (deterministic)</w:t>
            </w:r>
          </w:p>
        </w:tc>
      </w:tr>
      <w:tr>
        <w:tc>
          <w:tcPr>
            <w:tcW w:type="dxa" w:w="2340"/>
          </w:tcPr>
          <w:p>
            <w:r>
              <w:rPr>
                <w:rFonts w:ascii="Times New Roman" w:hAnsi="Times New Roman" w:eastAsia="Times New Roman"/>
                <w:b w:val="0"/>
                <w:sz w:val="22"/>
              </w:rPr>
              <w:t>B2</w:t>
            </w:r>
          </w:p>
        </w:tc>
        <w:tc>
          <w:tcPr>
            <w:tcW w:type="dxa" w:w="2340"/>
          </w:tcPr>
          <w:p>
            <w:r>
              <w:rPr>
                <w:rFonts w:ascii="Times New Roman" w:hAnsi="Times New Roman" w:eastAsia="Times New Roman"/>
                <w:b w:val="0"/>
                <w:sz w:val="22"/>
              </w:rPr>
              <w:t>HEXACO 6-domain logistic</w:t>
            </w:r>
          </w:p>
        </w:tc>
        <w:tc>
          <w:tcPr>
            <w:tcW w:type="dxa" w:w="2340"/>
          </w:tcPr>
          <w:p>
            <w:r>
              <w:rPr>
                <w:rFonts w:ascii="Times New Roman" w:hAnsi="Times New Roman" w:eastAsia="Times New Roman"/>
                <w:b w:val="0"/>
                <w:sz w:val="22"/>
              </w:rPr>
              <w:t>43.98%</w:t>
            </w:r>
          </w:p>
        </w:tc>
        <w:tc>
          <w:tcPr>
            <w:tcW w:type="dxa" w:w="2340"/>
          </w:tcPr>
          <w:p>
            <w:r>
              <w:rPr>
                <w:rFonts w:ascii="Times New Roman" w:hAnsi="Times New Roman" w:eastAsia="Times New Roman"/>
                <w:b w:val="0"/>
                <w:sz w:val="22"/>
              </w:rPr>
              <w:t>[40.33, 47.35]</w:t>
            </w:r>
          </w:p>
        </w:tc>
      </w:tr>
      <w:tr>
        <w:tc>
          <w:tcPr>
            <w:tcW w:type="dxa" w:w="2340"/>
          </w:tcPr>
          <w:p>
            <w:r>
              <w:rPr>
                <w:rFonts w:ascii="Times New Roman" w:hAnsi="Times New Roman" w:eastAsia="Times New Roman"/>
                <w:b w:val="0"/>
                <w:sz w:val="22"/>
              </w:rPr>
              <w:t>B3</w:t>
            </w:r>
          </w:p>
        </w:tc>
        <w:tc>
          <w:tcPr>
            <w:tcW w:type="dxa" w:w="2340"/>
          </w:tcPr>
          <w:p>
            <w:r>
              <w:rPr>
                <w:rFonts w:ascii="Times New Roman" w:hAnsi="Times New Roman" w:eastAsia="Times New Roman"/>
                <w:b w:val="0"/>
                <w:sz w:val="22"/>
              </w:rPr>
              <w:t>14-cell conditional</w:t>
            </w:r>
          </w:p>
        </w:tc>
        <w:tc>
          <w:tcPr>
            <w:tcW w:type="dxa" w:w="2340"/>
          </w:tcPr>
          <w:p>
            <w:r>
              <w:rPr>
                <w:rFonts w:ascii="Times New Roman" w:hAnsi="Times New Roman" w:eastAsia="Times New Roman"/>
                <w:b w:val="0"/>
                <w:sz w:val="22"/>
              </w:rPr>
              <w:t>46.34%</w:t>
            </w:r>
          </w:p>
        </w:tc>
        <w:tc>
          <w:tcPr>
            <w:tcW w:type="dxa" w:w="2340"/>
          </w:tcPr>
          <w:p>
            <w:r>
              <w:rPr>
                <w:rFonts w:ascii="Times New Roman" w:hAnsi="Times New Roman" w:eastAsia="Times New Roman"/>
                <w:b w:val="0"/>
                <w:sz w:val="22"/>
              </w:rPr>
              <w:t>[46.34, 46.34] (deterministic)</w:t>
            </w:r>
          </w:p>
        </w:tc>
      </w:tr>
      <w:tr>
        <w:tc>
          <w:tcPr>
            <w:tcW w:type="dxa" w:w="2340"/>
          </w:tcPr>
          <w:p>
            <w:r>
              <w:rPr>
                <w:rFonts w:ascii="Times New Roman" w:hAnsi="Times New Roman" w:eastAsia="Times New Roman"/>
                <w:b w:val="0"/>
                <w:sz w:val="22"/>
              </w:rPr>
              <w:t>B4</w:t>
            </w:r>
          </w:p>
        </w:tc>
        <w:tc>
          <w:tcPr>
            <w:tcW w:type="dxa" w:w="2340"/>
          </w:tcPr>
          <w:p>
            <w:r>
              <w:rPr>
                <w:rFonts w:ascii="Times New Roman" w:hAnsi="Times New Roman" w:eastAsia="Times New Roman"/>
                <w:b w:val="0"/>
                <w:sz w:val="22"/>
              </w:rPr>
              <w:t>Extended (age + age × cluster)</w:t>
            </w:r>
          </w:p>
        </w:tc>
        <w:tc>
          <w:tcPr>
            <w:tcW w:type="dxa" w:w="2340"/>
          </w:tcPr>
          <w:p>
            <w:r>
              <w:rPr>
                <w:rFonts w:ascii="Times New Roman" w:hAnsi="Times New Roman" w:eastAsia="Times New Roman"/>
                <w:b w:val="0"/>
                <w:sz w:val="22"/>
              </w:rPr>
              <w:t>47.04%</w:t>
            </w:r>
          </w:p>
        </w:tc>
        <w:tc>
          <w:tcPr>
            <w:tcW w:type="dxa" w:w="2340"/>
          </w:tcPr>
          <w:p>
            <w:r>
              <w:rPr>
                <w:rFonts w:ascii="Times New Roman" w:hAnsi="Times New Roman" w:eastAsia="Times New Roman"/>
                <w:b w:val="0"/>
                <w:sz w:val="22"/>
              </w:rPr>
              <w:t>[45.02, 49.05]</w:t>
            </w:r>
          </w:p>
        </w:tc>
      </w:tr>
    </w:tbl>
    <w:p>
      <w:pPr>
        <w:spacing w:line="480" w:lineRule="auto" w:before="0" w:after="0"/>
      </w:pPr>
    </w:p>
    <w:p>
      <w:pPr>
        <w:spacing w:line="480" w:lineRule="auto" w:before="0" w:after="0"/>
        <w:ind w:firstLine="720"/>
      </w:pPr>
      <w:r>
        <w:rPr>
          <w:rFonts w:ascii="Times New Roman" w:hAnsi="Times New Roman" w:eastAsia="Times New Roman"/>
          <w:sz w:val="24"/>
        </w:rPr>
        <w:t xml:space="preserve">The H2 hypothesis (B0 &gt; B1 &gt; B2 &gt; B3 &gt; B4 in MAPE, monotonic improvement) was tested via Bonferroni-Holm-corrected pairwise inequalities; </w:t>
      </w:r>
      <w:r>
        <w:rPr>
          <w:rFonts w:ascii="Times New Roman" w:hAnsi="Times New Roman" w:eastAsia="Times New Roman"/>
          <w:b/>
          <w:sz w:val="24"/>
        </w:rPr>
        <w:t>0 of 4 pairs were confirmed</w:t>
      </w:r>
      <w:r>
        <w:rPr>
          <w:rFonts w:ascii="Times New Roman" w:hAnsi="Times New Roman" w:eastAsia="Times New Roman"/>
          <w:sz w:val="24"/>
        </w:rPr>
        <w:t xml:space="preserve"> at one-sided α = 0.05. Page's L (1963) ordinal trend test produced p = 0.9757, far from significance.</w:t>
      </w:r>
    </w:p>
    <w:p>
      <w:pPr>
        <w:spacing w:line="480" w:lineRule="auto" w:before="0" w:after="0"/>
        <w:ind w:firstLine="720"/>
      </w:pPr>
      <w:r>
        <w:rPr>
          <w:rFonts w:ascii="Times New Roman" w:hAnsi="Times New Roman" w:eastAsia="Times New Roman"/>
          <w:sz w:val="24"/>
        </w:rPr>
        <w:t xml:space="preserve">The H2 decision is therefore </w:t>
      </w:r>
      <w:r>
        <w:rPr>
          <w:rFonts w:ascii="Times New Roman" w:hAnsi="Times New Roman" w:eastAsia="Times New Roman"/>
          <w:b/>
          <w:sz w:val="24"/>
        </w:rPr>
        <w:t>ambiguous_or_reversed</w:t>
      </w:r>
      <w:r>
        <w:rPr>
          <w:rFonts w:ascii="Times New Roman" w:hAnsi="Times New Roman" w:eastAsia="Times New Roman"/>
          <w:sz w:val="24"/>
        </w:rPr>
        <w:t xml:space="preserve">: the model sophistication ladder does not exhibit a monotonic improvement signature. Substantively, this indicates that the 14-cell conditional model (B3) does not dominate simpler alternatives (B1, B2) in terms of predictive accuracy. We interpret this as evidence that the 14-cell partition is </w:t>
      </w:r>
      <w:r>
        <w:rPr>
          <w:rFonts w:ascii="Times New Roman" w:hAnsi="Times New Roman" w:eastAsia="Times New Roman"/>
          <w:i/>
          <w:sz w:val="24"/>
        </w:rPr>
        <w:t>not over-fit</w:t>
      </w:r>
      <w:r>
        <w:rPr>
          <w:rFonts w:ascii="Times New Roman" w:hAnsi="Times New Roman" w:eastAsia="Times New Roman"/>
          <w:sz w:val="24"/>
        </w:rPr>
        <w:t xml:space="preserve"> to the training subsample (a moderately favorable finding), but the benefit of the additional cluster × gender stratification is not detectable at this sample size with the present binarization.</w:t>
      </w:r>
    </w:p>
    <w:p>
      <w:pPr>
        <w:spacing w:line="480" w:lineRule="auto" w:before="0" w:after="0"/>
        <w:jc w:val="center"/>
      </w:pPr>
      <w:r>
        <w:rPr>
          <w:rFonts w:ascii="Times New Roman" w:hAnsi="Times New Roman" w:eastAsia="Times New Roman"/>
          <w:b/>
          <w:sz w:val="24"/>
        </w:rPr>
        <w:t>Common-method-variance diagnostic (Stage 5)</w:t>
      </w:r>
    </w:p>
    <w:p>
      <w:pPr>
        <w:spacing w:line="480" w:lineRule="auto" w:before="0" w:after="0"/>
        <w:ind w:firstLine="720"/>
      </w:pPr>
      <w:r>
        <w:rPr>
          <w:rFonts w:ascii="Times New Roman" w:hAnsi="Times New Roman" w:eastAsia="Times New Roman"/>
          <w:sz w:val="24"/>
        </w:rPr>
        <w:t>Harman's single-factor test on 11 standardized variables (6 HEXACO + 3 Dark Triad + 2 harassment continuous scales; N = 353 used after listwise deletion) yielded:</w:t>
      </w:r>
    </w:p>
    <w:p>
      <w:pPr>
        <w:pStyle w:val="ListBullet"/>
        <w:spacing w:line="480" w:lineRule="auto" w:before="0" w:after="0"/>
      </w:pPr>
      <w:r>
        <w:rPr>
          <w:rFonts w:ascii="Times New Roman" w:hAnsi="Times New Roman" w:eastAsia="Times New Roman"/>
          <w:sz w:val="24"/>
        </w:rPr>
        <w:t>First-factor variance: 24.08% (well below the 50% concern threshold);</w:t>
      </w:r>
    </w:p>
    <w:p>
      <w:pPr>
        <w:pStyle w:val="ListBullet"/>
        <w:spacing w:line="480" w:lineRule="auto" w:before="0" w:after="0"/>
      </w:pPr>
      <w:r>
        <w:rPr>
          <w:rFonts w:ascii="Times New Roman" w:hAnsi="Times New Roman" w:eastAsia="Times New Roman"/>
          <w:sz w:val="24"/>
        </w:rPr>
        <w:t>CMV concern flag: False;</w:t>
      </w:r>
    </w:p>
    <w:p>
      <w:pPr>
        <w:pStyle w:val="ListBullet"/>
        <w:spacing w:line="480" w:lineRule="auto" w:before="0" w:after="0"/>
      </w:pPr>
      <w:r>
        <w:rPr>
          <w:rFonts w:ascii="Times New Roman" w:hAnsi="Times New Roman" w:eastAsia="Times New Roman"/>
          <w:sz w:val="24"/>
        </w:rPr>
        <w:t>Marker-variable correction (Lindell &amp; Whitney, 2001) using HEXACO Openness as theoretical marker:</w:t>
      </w:r>
    </w:p>
    <w:p>
      <w:pPr>
        <w:spacing w:line="480" w:lineRule="auto" w:before="0" w:after="0"/>
        <w:ind w:firstLine="720"/>
      </w:pPr>
      <w:r>
        <w:rPr>
          <w:rFonts w:ascii="Times New Roman" w:hAnsi="Times New Roman" w:eastAsia="Times New Roman"/>
          <w:sz w:val="24"/>
        </w:rPr>
        <w:t>- r(O, power harassment) = +0.068 (CMV estimate); - r(O, gender harassment) = −0.181; - Honesty-Humility–power harassment association: r_raw = −0.265 → r_adjusted = −0.356 (slightly strengthened after CMV correction); - Psychopathy–power harassment association: r_raw = +0.391 → r_adjusted = +0.347.</w:t>
      </w:r>
    </w:p>
    <w:p>
      <w:pPr>
        <w:spacing w:line="480" w:lineRule="auto" w:before="0" w:after="0"/>
        <w:ind w:firstLine="720"/>
      </w:pPr>
      <w:r>
        <w:rPr>
          <w:rFonts w:ascii="Times New Roman" w:hAnsi="Times New Roman" w:eastAsia="Times New Roman"/>
          <w:sz w:val="24"/>
        </w:rPr>
        <w:t>Common-method bias does not pose substantial concern for the present data, and the post-correction associations remain in the expected directions.</w:t>
      </w:r>
    </w:p>
    <w:p>
      <w:pPr>
        <w:spacing w:line="480" w:lineRule="auto" w:before="0" w:after="0"/>
        <w:jc w:val="center"/>
      </w:pPr>
      <w:r>
        <w:rPr>
          <w:rFonts w:ascii="Times New Roman" w:hAnsi="Times New Roman" w:eastAsia="Times New Roman"/>
          <w:b/>
          <w:sz w:val="24"/>
        </w:rPr>
        <w:t>Counterfactual contrasts and H7 IUT (Stage 7)</w:t>
      </w:r>
    </w:p>
    <w:p>
      <w:pPr>
        <w:spacing w:line="480" w:lineRule="auto" w:before="0" w:after="0"/>
        <w:ind w:firstLine="720"/>
      </w:pPr>
      <w:r>
        <w:rPr>
          <w:rFonts w:ascii="Times New Roman" w:hAnsi="Times New Roman" w:eastAsia="Times New Roman"/>
          <w:sz w:val="24"/>
        </w:rPr>
        <w:t>The three pre-registered counterfactual interventions produced the following ΔP_x estimates (Table 4).</w:t>
      </w:r>
    </w:p>
    <w:p>
      <w:pPr>
        <w:spacing w:line="480" w:lineRule="auto" w:before="0" w:after="0"/>
        <w:ind w:firstLine="720"/>
      </w:pPr>
      <w:r>
        <w:rPr>
          <w:rFonts w:ascii="Times New Roman" w:hAnsi="Times New Roman" w:eastAsia="Times New Roman"/>
          <w:b/>
          <w:sz w:val="24"/>
        </w:rPr>
        <w:t>Table 4.</w:t>
      </w:r>
      <w:r>
        <w:rPr>
          <w:rFonts w:ascii="Times New Roman" w:hAnsi="Times New Roman" w:eastAsia="Times New Roman"/>
          <w:sz w:val="24"/>
        </w:rPr>
        <w:t xml:space="preserve"> Counterfactual ΔP_x = (P̂_counterfactual − P̂_baseline) at the national level. B = 2,000 cell-stratified bootstrap. Positive ΔP indicates </w:t>
      </w:r>
      <w:r>
        <w:rPr>
          <w:rFonts w:ascii="Times New Roman" w:hAnsi="Times New Roman" w:eastAsia="Times New Roman"/>
          <w:i/>
          <w:sz w:val="24"/>
        </w:rPr>
        <w:t>reduction</w:t>
      </w:r>
      <w:r>
        <w:rPr>
          <w:rFonts w:ascii="Times New Roman" w:hAnsi="Times New Roman" w:eastAsia="Times New Roman"/>
          <w:sz w:val="24"/>
        </w:rPr>
        <w:t xml:space="preserve"> in prevalence (per pre-registration v2.0 sign convention).</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Intervention</w:t>
            </w:r>
          </w:p>
        </w:tc>
        <w:tc>
          <w:tcPr>
            <w:tcW w:type="dxa" w:w="1872"/>
          </w:tcPr>
          <w:p>
            <w:r>
              <w:rPr>
                <w:rFonts w:ascii="Times New Roman" w:hAnsi="Times New Roman" w:eastAsia="Times New Roman"/>
                <w:b/>
                <w:sz w:val="22"/>
              </w:rPr>
              <w:t>Operationalization</w:t>
            </w:r>
          </w:p>
        </w:tc>
        <w:tc>
          <w:tcPr>
            <w:tcW w:type="dxa" w:w="1872"/>
          </w:tcPr>
          <w:p>
            <w:r>
              <w:rPr>
                <w:rFonts w:ascii="Times New Roman" w:hAnsi="Times New Roman" w:eastAsia="Times New Roman"/>
                <w:b/>
                <w:sz w:val="22"/>
              </w:rPr>
              <w:t>ΔP point</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Decision (CI excludes 0?)</w:t>
            </w:r>
          </w:p>
        </w:tc>
      </w:tr>
      <w:tr>
        <w:tc>
          <w:tcPr>
            <w:tcW w:type="dxa" w:w="1872"/>
          </w:tcPr>
          <w:p>
            <w:r>
              <w:rPr>
                <w:rFonts w:ascii="Times New Roman" w:hAnsi="Times New Roman" w:eastAsia="Times New Roman"/>
                <w:b w:val="0"/>
                <w:sz w:val="22"/>
              </w:rPr>
              <w:t>Counterfactual A</w:t>
            </w:r>
          </w:p>
        </w:tc>
        <w:tc>
          <w:tcPr>
            <w:tcW w:type="dxa" w:w="1872"/>
          </w:tcPr>
          <w:p>
            <w:r>
              <w:rPr>
                <w:rFonts w:ascii="Times New Roman" w:hAnsi="Times New Roman" w:eastAsia="Times New Roman"/>
                <w:b w:val="0"/>
                <w:sz w:val="22"/>
              </w:rPr>
              <w:t>do(HH ← HH + 0.3σ; A ← A + 0.3σ; E ← E + 0.3σ)</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[−0.0207, +0.0062]</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Counterfactual B</w:t>
            </w:r>
          </w:p>
        </w:tc>
        <w:tc>
          <w:tcPr>
            <w:tcW w:type="dxa" w:w="1872"/>
          </w:tcPr>
          <w:p>
            <w:r>
              <w:rPr>
                <w:rFonts w:ascii="Times New Roman" w:hAnsi="Times New Roman" w:eastAsia="Times New Roman"/>
                <w:b w:val="0"/>
                <w:sz w:val="22"/>
              </w:rPr>
              <w:t>do(HH := HH + 0.40σ_HH) for individuals whose baseline cluster ∈ {0, 4, 6}</w:t>
            </w:r>
          </w:p>
        </w:tc>
        <w:tc>
          <w:tcPr>
            <w:tcW w:type="dxa" w:w="1872"/>
          </w:tcPr>
          <w:p>
            <w:r>
              <w:rPr>
                <w:rFonts w:ascii="Times New Roman" w:hAnsi="Times New Roman" w:eastAsia="Times New Roman"/>
                <w:b w:val="0"/>
                <w:sz w:val="22"/>
              </w:rPr>
              <w:t>−0.0059</w:t>
            </w:r>
          </w:p>
        </w:tc>
        <w:tc>
          <w:tcPr>
            <w:tcW w:type="dxa" w:w="1872"/>
          </w:tcPr>
          <w:p>
            <w:r>
              <w:rPr>
                <w:rFonts w:ascii="Times New Roman" w:hAnsi="Times New Roman" w:eastAsia="Times New Roman"/>
                <w:b w:val="0"/>
                <w:sz w:val="22"/>
              </w:rPr>
              <w:t>[−0.0207, +0.0066]</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Counterfactual C</w:t>
            </w:r>
          </w:p>
        </w:tc>
        <w:tc>
          <w:tcPr>
            <w:tcW w:type="dxa" w:w="1872"/>
          </w:tcPr>
          <w:p>
            <w:r>
              <w:rPr>
                <w:rFonts w:ascii="Times New Roman" w:hAnsi="Times New Roman" w:eastAsia="Times New Roman"/>
                <w:b w:val="0"/>
                <w:sz w:val="22"/>
              </w:rPr>
              <w:t>do(P_{c, x} ← 0.80 × P_{c, x})</w:t>
            </w:r>
          </w:p>
        </w:tc>
        <w:tc>
          <w:tcPr>
            <w:tcW w:type="dxa" w:w="1872"/>
          </w:tcPr>
          <w:p>
            <w:r>
              <w:rPr>
                <w:rFonts w:ascii="Times New Roman" w:hAnsi="Times New Roman" w:eastAsia="Times New Roman"/>
                <w:b w:val="0"/>
                <w:sz w:val="22"/>
              </w:rPr>
              <w:t>+0.0349</w:t>
            </w:r>
          </w:p>
        </w:tc>
        <w:tc>
          <w:tcPr>
            <w:tcW w:type="dxa" w:w="1872"/>
          </w:tcPr>
          <w:p>
            <w:r>
              <w:rPr>
                <w:rFonts w:ascii="Times New Roman" w:hAnsi="Times New Roman" w:eastAsia="Times New Roman"/>
                <w:b w:val="0"/>
                <w:sz w:val="22"/>
              </w:rPr>
              <w:t>[+0.0264, +0.0435]</w:t>
            </w:r>
          </w:p>
        </w:tc>
        <w:tc>
          <w:tcPr>
            <w:tcW w:type="dxa" w:w="1872"/>
          </w:tcPr>
          <w:p>
            <w:r>
              <w:rPr>
                <w:rFonts w:ascii="Times New Roman" w:hAnsi="Times New Roman" w:eastAsia="Times New Roman"/>
                <w:b w:val="0"/>
                <w:sz w:val="22"/>
              </w:rPr>
              <w:t>Yes (positive)</w:t>
            </w:r>
          </w:p>
        </w:tc>
      </w:tr>
    </w:tbl>
    <w:p>
      <w:pPr>
        <w:spacing w:line="480" w:lineRule="auto" w:before="0" w:after="0"/>
      </w:pPr>
    </w:p>
    <w:p>
      <w:pPr>
        <w:spacing w:line="480" w:lineRule="auto" w:before="0" w:after="0"/>
        <w:ind w:firstLine="720"/>
      </w:pPr>
      <w:r>
        <w:rPr>
          <w:rFonts w:ascii="Times New Roman" w:hAnsi="Times New Roman" w:eastAsia="Times New Roman"/>
          <w:sz w:val="24"/>
        </w:rPr>
        <w:t xml:space="preserve">The intersection-union test (Berger &amp; Hsu, 1996) produced one-sided 95% lower bounds L_BA = −0.0011 and L_BC = −0.0544. Because point ΔP_B = −0.0059 is less than point ΔP_C = +0.0349, the priority-1 condition is satisfied and H7 is classified as </w:t>
      </w:r>
      <w:r>
        <w:rPr>
          <w:rFonts w:ascii="Times New Roman" w:hAnsi="Times New Roman" w:eastAsia="Times New Roman"/>
          <w:b/>
          <w:sz w:val="24"/>
        </w:rPr>
        <w:t>REVERSAL</w:t>
      </w:r>
      <w:r>
        <w:rPr>
          <w:rFonts w:ascii="Times New Roman" w:hAnsi="Times New Roman" w:eastAsia="Times New Roman"/>
          <w:sz w:val="24"/>
        </w:rPr>
        <w:t xml:space="preserve">. We note that the priority-1 trigger uses the ΔP_B point estimate, which is downgraded to </w:t>
      </w:r>
      <w:r>
        <w:rPr>
          <w:rFonts w:ascii="Times New Roman" w:hAnsi="Times New Roman" w:eastAsia="Times New Roman"/>
          <w:i/>
          <w:sz w:val="24"/>
        </w:rPr>
        <w:t>exploratory</w:t>
      </w:r>
      <w:r>
        <w:rPr>
          <w:rFonts w:ascii="Times New Roman" w:hAnsi="Times New Roman" w:eastAsia="Times New Roman"/>
          <w:sz w:val="24"/>
        </w:rPr>
        <w:t xml:space="preserve"> under the pre-registered positivity rule (44.5% flagged-weight; see Positivity diagnostic below); however, the CI-based cascade independently corroborates REVERSAL via L_BC = −0.0544 &lt; 0 (ruling out the CONFIRMED branch without relying on the ΔP_B point estimate), and L_BA also lies just below zero. The REVERSAL classification therefore does not depend on the exploratory ΔP_B point estimate alone.</w:t>
      </w:r>
    </w:p>
    <w:p>
      <w:pPr>
        <w:spacing w:line="480" w:lineRule="auto" w:before="0" w:after="0"/>
        <w:ind w:firstLine="720"/>
      </w:pPr>
      <w:r>
        <w:rPr>
          <w:rFonts w:ascii="Times New Roman" w:hAnsi="Times New Roman" w:eastAsia="Times New Roman"/>
          <w:sz w:val="24"/>
        </w:rPr>
        <w:t>Substantively, this means that the cell-level structural intervention (Counterfactual C) outperforms both the universal personality intervention (Counterfactual A) and the targeted personality intervention on the low-prevalence subgroup (Counterfactual B) by a large margin. Numerically, |ΔP_C| / |ΔP_A| ≈ 5.7.</w:t>
      </w:r>
    </w:p>
    <w:p>
      <w:pPr>
        <w:spacing w:line="480" w:lineRule="auto" w:before="0" w:after="0"/>
        <w:ind w:firstLine="720"/>
      </w:pPr>
      <w:r>
        <w:rPr>
          <w:rFonts w:ascii="Times New Roman" w:hAnsi="Times New Roman" w:eastAsia="Times New Roman"/>
          <w:b/>
          <w:sz w:val="24"/>
        </w:rPr>
        <w:t>Positivity diagnostic.</w:t>
      </w:r>
      <w:r>
        <w:rPr>
          <w:rFonts w:ascii="Times New Roman" w:hAnsi="Times New Roman" w:eastAsia="Times New Roman"/>
          <w:sz w:val="24"/>
        </w:rPr>
        <w:t xml:space="preserve"> Counterfactual A and Counterfactual C trivially preserve positivity (ρ ≡ 1 by construction; per the pre-registered positivity rule). Counterfactual B's cell positivity ratio ρ_{c, B} was 44.5% flagged (i.e., 44.5% of population weight in cells where the post-intervention expected count is &lt; 10% of observed), triggering the pre-registered downgrade rule (flagged_weight ≥ 20%). We therefore interpret Counterfactual B as </w:t>
      </w:r>
      <w:r>
        <w:rPr>
          <w:rFonts w:ascii="Times New Roman" w:hAnsi="Times New Roman" w:eastAsia="Times New Roman"/>
          <w:b/>
          <w:sz w:val="24"/>
        </w:rPr>
        <w:t>exploratory</w:t>
      </w:r>
      <w:r>
        <w:rPr>
          <w:rFonts w:ascii="Times New Roman" w:hAnsi="Times New Roman" w:eastAsia="Times New Roman"/>
          <w:sz w:val="24"/>
        </w:rPr>
        <w:t xml:space="preserve"> rather than confirmatory; the IUT reading is unaffected (ΔP_B remains null), but conclusions about B's null finding cannot be made with the same confidence as A.</w:t>
      </w:r>
    </w:p>
    <w:p>
      <w:pPr>
        <w:spacing w:line="480" w:lineRule="auto" w:before="0" w:after="0"/>
        <w:jc w:val="center"/>
      </w:pPr>
      <w:r>
        <w:rPr>
          <w:rFonts w:ascii="Times New Roman" w:hAnsi="Times New Roman" w:eastAsia="Times New Roman"/>
          <w:b/>
          <w:sz w:val="24"/>
        </w:rPr>
        <w:t>Transportability sensitivity (Stage 8)</w:t>
      </w:r>
    </w:p>
    <w:p>
      <w:pPr>
        <w:spacing w:line="480" w:lineRule="auto" w:before="0" w:after="0"/>
        <w:ind w:firstLine="720"/>
      </w:pPr>
      <w:r>
        <w:rPr>
          <w:rFonts w:ascii="Times New Roman" w:hAnsi="Times New Roman" w:eastAsia="Times New Roman"/>
          <w:sz w:val="24"/>
        </w:rPr>
        <w:t>Per the pre-registered cultural-attenuation sweep, all three ΔP_x bootstrap distributions were multiplied by transportability factor F ∈ {0.3, 0.5, 0.7, 1.0}, and the H7 IUT was re-classified per factor (Table 5).</w:t>
      </w:r>
    </w:p>
    <w:p>
      <w:pPr>
        <w:spacing w:line="480" w:lineRule="auto" w:before="0" w:after="0"/>
        <w:ind w:firstLine="720"/>
      </w:pPr>
      <w:r>
        <w:rPr>
          <w:rFonts w:ascii="Times New Roman" w:hAnsi="Times New Roman" w:eastAsia="Times New Roman"/>
          <w:b/>
          <w:sz w:val="24"/>
        </w:rPr>
        <w:t>Table 5.</w:t>
      </w:r>
      <w:r>
        <w:rPr>
          <w:rFonts w:ascii="Times New Roman" w:hAnsi="Times New Roman" w:eastAsia="Times New Roman"/>
          <w:sz w:val="24"/>
        </w:rPr>
        <w:t xml:space="preserve"> H7 classification under cultural attenuation factors. Each row uses the same H7 IUT procedure on attenuated bootstrap distributions.</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Factor F</w:t>
            </w:r>
          </w:p>
        </w:tc>
        <w:tc>
          <w:tcPr>
            <w:tcW w:type="dxa" w:w="1872"/>
          </w:tcPr>
          <w:p>
            <w:r>
              <w:rPr>
                <w:rFonts w:ascii="Times New Roman" w:hAnsi="Times New Roman" w:eastAsia="Times New Roman"/>
                <w:b/>
                <w:sz w:val="22"/>
              </w:rPr>
              <w:t>Anchor</w:t>
            </w:r>
          </w:p>
        </w:tc>
        <w:tc>
          <w:tcPr>
            <w:tcW w:type="dxa" w:w="1872"/>
          </w:tcPr>
          <w:p>
            <w:r>
              <w:rPr>
                <w:rFonts w:ascii="Times New Roman" w:hAnsi="Times New Roman" w:eastAsia="Times New Roman"/>
                <w:b/>
                <w:sz w:val="22"/>
              </w:rPr>
              <w:t>ΔP_A (attenuated)</w:t>
            </w:r>
          </w:p>
        </w:tc>
        <w:tc>
          <w:tcPr>
            <w:tcW w:type="dxa" w:w="1872"/>
          </w:tcPr>
          <w:p>
            <w:r>
              <w:rPr>
                <w:rFonts w:ascii="Times New Roman" w:hAnsi="Times New Roman" w:eastAsia="Times New Roman"/>
                <w:b/>
                <w:sz w:val="22"/>
              </w:rPr>
              <w:t>ΔP_C (attenuated)</w:t>
            </w:r>
          </w:p>
        </w:tc>
        <w:tc>
          <w:tcPr>
            <w:tcW w:type="dxa" w:w="1872"/>
          </w:tcPr>
          <w:p>
            <w:r>
              <w:rPr>
                <w:rFonts w:ascii="Times New Roman" w:hAnsi="Times New Roman" w:eastAsia="Times New Roman"/>
                <w:b/>
                <w:sz w:val="22"/>
              </w:rPr>
              <w:t>H7</w:t>
            </w:r>
          </w:p>
        </w:tc>
      </w:tr>
      <w:tr>
        <w:tc>
          <w:tcPr>
            <w:tcW w:type="dxa" w:w="1872"/>
          </w:tcPr>
          <w:p>
            <w:r>
              <w:rPr>
                <w:rFonts w:ascii="Times New Roman" w:hAnsi="Times New Roman" w:eastAsia="Times New Roman"/>
                <w:b w:val="0"/>
                <w:sz w:val="22"/>
              </w:rPr>
              <w:t>0.3</w:t>
            </w:r>
          </w:p>
        </w:tc>
        <w:tc>
          <w:tcPr>
            <w:tcW w:type="dxa" w:w="1872"/>
          </w:tcPr>
          <w:p>
            <w:r>
              <w:rPr>
                <w:rFonts w:ascii="Times New Roman" w:hAnsi="Times New Roman" w:eastAsia="Times New Roman"/>
                <w:b w:val="0"/>
                <w:sz w:val="22"/>
              </w:rPr>
              <w:t>Conservative cross-cultural worst case</w:t>
            </w:r>
          </w:p>
        </w:tc>
        <w:tc>
          <w:tcPr>
            <w:tcW w:type="dxa" w:w="1872"/>
          </w:tcPr>
          <w:p>
            <w:r>
              <w:rPr>
                <w:rFonts w:ascii="Times New Roman" w:hAnsi="Times New Roman" w:eastAsia="Times New Roman"/>
                <w:b w:val="0"/>
                <w:sz w:val="22"/>
              </w:rPr>
              <w:t>−0.0018</w:t>
            </w:r>
          </w:p>
        </w:tc>
        <w:tc>
          <w:tcPr>
            <w:tcW w:type="dxa" w:w="1872"/>
          </w:tcPr>
          <w:p>
            <w:r>
              <w:rPr>
                <w:rFonts w:ascii="Times New Roman" w:hAnsi="Times New Roman" w:eastAsia="Times New Roman"/>
                <w:b w:val="0"/>
                <w:sz w:val="22"/>
              </w:rPr>
              <w:t>+0.0105</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Nielsen et al., 2017 expected</w:t>
            </w:r>
          </w:p>
        </w:tc>
        <w:tc>
          <w:tcPr>
            <w:tcW w:type="dxa" w:w="1872"/>
          </w:tcPr>
          <w:p>
            <w:r>
              <w:rPr>
                <w:rFonts w:ascii="Times New Roman" w:hAnsi="Times New Roman" w:eastAsia="Times New Roman"/>
                <w:b w:val="0"/>
                <w:sz w:val="22"/>
              </w:rPr>
              <w:t>−0.0031</w:t>
            </w:r>
          </w:p>
        </w:tc>
        <w:tc>
          <w:tcPr>
            <w:tcW w:type="dxa" w:w="1872"/>
          </w:tcPr>
          <w:p>
            <w:r>
              <w:rPr>
                <w:rFonts w:ascii="Times New Roman" w:hAnsi="Times New Roman" w:eastAsia="Times New Roman"/>
                <w:b w:val="0"/>
                <w:sz w:val="22"/>
              </w:rPr>
              <w:t>+0.0174</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0.7</w:t>
            </w:r>
          </w:p>
        </w:tc>
        <w:tc>
          <w:tcPr>
            <w:tcW w:type="dxa" w:w="1872"/>
          </w:tcPr>
          <w:p>
            <w:r>
              <w:rPr>
                <w:rFonts w:ascii="Times New Roman" w:hAnsi="Times New Roman" w:eastAsia="Times New Roman"/>
                <w:b w:val="0"/>
                <w:sz w:val="22"/>
              </w:rPr>
              <w:t>Mild attenuation</w:t>
            </w:r>
          </w:p>
        </w:tc>
        <w:tc>
          <w:tcPr>
            <w:tcW w:type="dxa" w:w="1872"/>
          </w:tcPr>
          <w:p>
            <w:r>
              <w:rPr>
                <w:rFonts w:ascii="Times New Roman" w:hAnsi="Times New Roman" w:eastAsia="Times New Roman"/>
                <w:b w:val="0"/>
                <w:sz w:val="22"/>
              </w:rPr>
              <w:t>−0.0043</w:t>
            </w:r>
          </w:p>
        </w:tc>
        <w:tc>
          <w:tcPr>
            <w:tcW w:type="dxa" w:w="1872"/>
          </w:tcPr>
          <w:p>
            <w:r>
              <w:rPr>
                <w:rFonts w:ascii="Times New Roman" w:hAnsi="Times New Roman" w:eastAsia="Times New Roman"/>
                <w:b w:val="0"/>
                <w:sz w:val="22"/>
              </w:rPr>
              <w:t>+0.0244</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Reference (no attenuation)</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+0.0349</w:t>
            </w:r>
          </w:p>
        </w:tc>
        <w:tc>
          <w:tcPr>
            <w:tcW w:type="dxa" w:w="1872"/>
          </w:tcPr>
          <w:p>
            <w:r>
              <w:rPr>
                <w:rFonts w:ascii="Times New Roman" w:hAnsi="Times New Roman" w:eastAsia="Times New Roman"/>
                <w:b w:val="0"/>
                <w:sz w:val="22"/>
              </w:rPr>
              <w:t>REVERSAL</w:t>
            </w:r>
          </w:p>
        </w:tc>
      </w:tr>
    </w:tbl>
    <w:p>
      <w:pPr>
        <w:spacing w:line="480" w:lineRule="auto" w:before="0" w:after="0"/>
      </w:pPr>
    </w:p>
    <w:p>
      <w:pPr>
        <w:spacing w:line="480" w:lineRule="auto" w:before="0" w:after="0"/>
        <w:ind w:firstLine="720"/>
      </w:pPr>
      <w:r>
        <w:rPr>
          <w:rFonts w:ascii="Times New Roman" w:hAnsi="Times New Roman" w:eastAsia="Times New Roman"/>
          <w:sz w:val="24"/>
        </w:rPr>
        <w:t>The H7 = REVERSAL classification is robust across all four pre-registered cultural attenuation factors. Even under the conservative cross-cultural worst-case scenario (F = 0.3), the structural intervention's effect remains substantially larger than the personality intervention's, preserving the qualitative ordering.</w:t>
      </w:r>
    </w:p>
    <w:p>
      <w:pPr>
        <w:spacing w:line="480" w:lineRule="auto" w:before="0" w:after="0"/>
        <w:jc w:val="center"/>
      </w:pPr>
      <w:r>
        <w:rPr>
          <w:rFonts w:ascii="Times New Roman" w:hAnsi="Times New Roman" w:eastAsia="Times New Roman"/>
          <w:b/>
          <w:sz w:val="24"/>
        </w:rPr>
        <w:t>Summary of pre-registered hypothesis outcomes</w:t>
      </w:r>
    </w:p>
    <w:p>
      <w:pPr>
        <w:spacing w:line="480" w:lineRule="auto" w:before="0" w:after="0"/>
        <w:ind w:firstLine="720"/>
      </w:pPr>
      <w:r>
        <w:rPr>
          <w:rFonts w:ascii="Times New Roman" w:hAnsi="Times New Roman" w:eastAsia="Times New Roman"/>
          <w:b/>
          <w:sz w:val="24"/>
        </w:rPr>
        <w:t>Table 6.</w:t>
      </w:r>
      <w:r>
        <w:rPr>
          <w:rFonts w:ascii="Times New Roman" w:hAnsi="Times New Roman" w:eastAsia="Times New Roman"/>
          <w:sz w:val="24"/>
        </w:rPr>
        <w:t xml:space="preserve"> Pre-registered hypothesis outcomes summary.</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Hypothesis</w:t>
            </w:r>
          </w:p>
        </w:tc>
        <w:tc>
          <w:tcPr>
            <w:tcW w:type="dxa" w:w="2340"/>
          </w:tcPr>
          <w:p>
            <w:r>
              <w:rPr>
                <w:rFonts w:ascii="Times New Roman" w:hAnsi="Times New Roman" w:eastAsia="Times New Roman"/>
                <w:b/>
                <w:sz w:val="22"/>
              </w:rPr>
              <w:t>Pre-registered prediction</w:t>
            </w:r>
          </w:p>
        </w:tc>
        <w:tc>
          <w:tcPr>
            <w:tcW w:type="dxa" w:w="2340"/>
          </w:tcPr>
          <w:p>
            <w:r>
              <w:rPr>
                <w:rFonts w:ascii="Times New Roman" w:hAnsi="Times New Roman" w:eastAsia="Times New Roman"/>
                <w:b/>
                <w:sz w:val="22"/>
              </w:rPr>
              <w:t>Outcome</w:t>
            </w:r>
          </w:p>
        </w:tc>
        <w:tc>
          <w:tcPr>
            <w:tcW w:type="dxa" w:w="2340"/>
          </w:tcPr>
          <w:p>
            <w:r>
              <w:rPr>
                <w:rFonts w:ascii="Times New Roman" w:hAnsi="Times New Roman" w:eastAsia="Times New Roman"/>
                <w:b/>
                <w:sz w:val="22"/>
              </w:rPr>
              <w:t>Tier</w:t>
            </w:r>
          </w:p>
        </w:tc>
      </w:tr>
      <w:tr>
        <w:tc>
          <w:tcPr>
            <w:tcW w:type="dxa" w:w="2340"/>
          </w:tcPr>
          <w:p>
            <w:r>
              <w:rPr>
                <w:rFonts w:ascii="Times New Roman" w:hAnsi="Times New Roman" w:eastAsia="Times New Roman"/>
                <w:b w:val="0"/>
                <w:sz w:val="22"/>
              </w:rPr>
              <w:t>H1</w:t>
            </w:r>
          </w:p>
        </w:tc>
        <w:tc>
          <w:tcPr>
            <w:tcW w:type="dxa" w:w="2340"/>
          </w:tcPr>
          <w:p>
            <w:r>
              <w:rPr>
                <w:rFonts w:ascii="Times New Roman" w:hAnsi="Times New Roman" w:eastAsia="Times New Roman"/>
                <w:b w:val="0"/>
                <w:sz w:val="22"/>
              </w:rPr>
              <w:t>MAPE_FY2016 ≤ 30% (Strict / Standard SUCCESS)</w:t>
            </w:r>
          </w:p>
        </w:tc>
        <w:tc>
          <w:tcPr>
            <w:tcW w:type="dxa" w:w="2340"/>
          </w:tcPr>
          <w:p>
            <w:r>
              <w:rPr>
                <w:rFonts w:ascii="Times New Roman" w:hAnsi="Times New Roman" w:eastAsia="Times New Roman"/>
                <w:b w:val="0"/>
                <w:sz w:val="22"/>
              </w:rPr>
              <w:t>MAPE = 46.34%</w:t>
            </w:r>
          </w:p>
        </w:tc>
        <w:tc>
          <w:tcPr>
            <w:tcW w:type="dxa" w:w="2340"/>
          </w:tcPr>
          <w:p>
            <w:r>
              <w:rPr>
                <w:rFonts w:ascii="Times New Roman" w:hAnsi="Times New Roman" w:eastAsia="Times New Roman"/>
                <w:b w:val="0"/>
                <w:sz w:val="22"/>
              </w:rPr>
              <w:t>PARTIAL SUCCESS</w:t>
            </w:r>
          </w:p>
        </w:tc>
      </w:tr>
      <w:tr>
        <w:tc>
          <w:tcPr>
            <w:tcW w:type="dxa" w:w="2340"/>
          </w:tcPr>
          <w:p>
            <w:r>
              <w:rPr>
                <w:rFonts w:ascii="Times New Roman" w:hAnsi="Times New Roman" w:eastAsia="Times New Roman"/>
                <w:b w:val="0"/>
                <w:sz w:val="22"/>
              </w:rPr>
              <w:t>H2</w:t>
            </w:r>
          </w:p>
        </w:tc>
        <w:tc>
          <w:tcPr>
            <w:tcW w:type="dxa" w:w="2340"/>
          </w:tcPr>
          <w:p>
            <w:r>
              <w:rPr>
                <w:rFonts w:ascii="Times New Roman" w:hAnsi="Times New Roman" w:eastAsia="Times New Roman"/>
                <w:b w:val="0"/>
                <w:sz w:val="22"/>
              </w:rPr>
              <w:t>Monotonic B0 &gt; B1 &gt; B2 &gt; B3 &gt; B4</w:t>
            </w:r>
          </w:p>
        </w:tc>
        <w:tc>
          <w:tcPr>
            <w:tcW w:type="dxa" w:w="2340"/>
          </w:tcPr>
          <w:p>
            <w:r>
              <w:rPr>
                <w:rFonts w:ascii="Times New Roman" w:hAnsi="Times New Roman" w:eastAsia="Times New Roman"/>
                <w:b w:val="0"/>
                <w:sz w:val="22"/>
              </w:rPr>
              <w:t>0 of 4 pairs confirmed (Page's L p = 0.976)</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H3</w:t>
            </w:r>
          </w:p>
        </w:tc>
        <w:tc>
          <w:tcPr>
            <w:tcW w:type="dxa" w:w="2340"/>
          </w:tcPr>
          <w:p>
            <w:r>
              <w:rPr>
                <w:rFonts w:ascii="Times New Roman" w:hAnsi="Times New Roman" w:eastAsia="Times New Roman"/>
                <w:b w:val="0"/>
                <w:sz w:val="22"/>
              </w:rPr>
              <w:t>Centroid concordance N=354 vs N=13,668</w:t>
            </w:r>
          </w:p>
        </w:tc>
        <w:tc>
          <w:tcPr>
            <w:tcW w:type="dxa" w:w="2340"/>
          </w:tcPr>
          <w:p>
            <w:r>
              <w:rPr>
                <w:rFonts w:ascii="Times New Roman" w:hAnsi="Times New Roman" w:eastAsia="Times New Roman"/>
                <w:b w:val="0"/>
                <w:sz w:val="22"/>
              </w:rPr>
              <w:t>Externally validated in Tokiwa (2026) via stability analyses on the N=13,668 source sample; not separately re-tested in the present N=354 pipeline</w:t>
            </w:r>
          </w:p>
        </w:tc>
        <w:tc>
          <w:tcPr>
            <w:tcW w:type="dxa" w:w="2340"/>
          </w:tcPr>
          <w:p>
            <w:r>
              <w:rPr>
                <w:rFonts w:ascii="Times New Roman" w:hAnsi="Times New Roman" w:eastAsia="Times New Roman"/>
                <w:b w:val="0"/>
                <w:sz w:val="22"/>
              </w:rPr>
              <w:t>Externally Confirmed</w:t>
            </w:r>
          </w:p>
        </w:tc>
      </w:tr>
      <w:tr>
        <w:tc>
          <w:tcPr>
            <w:tcW w:type="dxa" w:w="2340"/>
          </w:tcPr>
          <w:p>
            <w:r>
              <w:rPr>
                <w:rFonts w:ascii="Times New Roman" w:hAnsi="Times New Roman" w:eastAsia="Times New Roman"/>
                <w:b w:val="0"/>
                <w:sz w:val="22"/>
              </w:rPr>
              <w:t>H4</w:t>
            </w:r>
          </w:p>
        </w:tc>
        <w:tc>
          <w:tcPr>
            <w:tcW w:type="dxa" w:w="2340"/>
          </w:tcPr>
          <w:p>
            <w:r>
              <w:rPr>
                <w:rFonts w:ascii="Times New Roman" w:hAnsi="Times New Roman" w:eastAsia="Times New Roman"/>
                <w:b w:val="0"/>
                <w:sz w:val="22"/>
              </w:rPr>
              <w:t>Per-cell propensity stability across bootstrap procedures</w:t>
            </w:r>
          </w:p>
        </w:tc>
        <w:tc>
          <w:tcPr>
            <w:tcW w:type="dxa" w:w="2340"/>
          </w:tcPr>
          <w:p>
            <w:r>
              <w:rPr>
                <w:rFonts w:ascii="Times New Roman" w:hAnsi="Times New Roman" w:eastAsia="Times New Roman"/>
                <w:b w:val="0"/>
                <w:sz w:val="22"/>
              </w:rPr>
              <w:t>13/14 cells resolved at BCa; 1 degenerate cell (X=0) at Clopper-Pearson per the pre-registered cascade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H5</w:t>
            </w:r>
          </w:p>
        </w:tc>
        <w:tc>
          <w:tcPr>
            <w:tcW w:type="dxa" w:w="2340"/>
          </w:tcPr>
          <w:p>
            <w:r>
              <w:rPr>
                <w:rFonts w:ascii="Times New Roman" w:hAnsi="Times New Roman" w:eastAsia="Times New Roman"/>
                <w:b w:val="0"/>
                <w:sz w:val="22"/>
              </w:rPr>
              <w:t>Gender invariance</w:t>
            </w:r>
          </w:p>
        </w:tc>
        <w:tc>
          <w:tcPr>
            <w:tcW w:type="dxa" w:w="2340"/>
          </w:tcPr>
          <w:p>
            <w:r>
              <w:rPr>
                <w:rFonts w:ascii="Times New Roman" w:hAnsi="Times New Roman" w:eastAsia="Times New Roman"/>
                <w:b w:val="0"/>
                <w:sz w:val="22"/>
              </w:rPr>
              <w:t>High concordance of cluster-level power-harassment rankings across genders (Spearman ρ = 0.87, p = 0.01 at 7-cluster level). The 14-cell vs 28-cell comparison adds a role stratification (× 2 roles per cell) rather than re-testing gender invariance; that comparison is reported separately as a robustness check on role-stratification stability and shows no qualitative effect on the cluster-level rank ordering used to evaluate H5.</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H6</w:t>
            </w:r>
          </w:p>
        </w:tc>
        <w:tc>
          <w:tcPr>
            <w:tcW w:type="dxa" w:w="2340"/>
          </w:tcPr>
          <w:p>
            <w:r>
              <w:rPr>
                <w:rFonts w:ascii="Times New Roman" w:hAnsi="Times New Roman" w:eastAsia="Times New Roman"/>
                <w:b w:val="0"/>
                <w:sz w:val="22"/>
              </w:rPr>
              <w:t>Power × gender harassment cluster ranking concordance</w:t>
            </w:r>
          </w:p>
        </w:tc>
        <w:tc>
          <w:tcPr>
            <w:tcW w:type="dxa" w:w="2340"/>
          </w:tcPr>
          <w:p>
            <w:r>
              <w:rPr>
                <w:rFonts w:ascii="Times New Roman" w:hAnsi="Times New Roman" w:eastAsia="Times New Roman"/>
                <w:b w:val="0"/>
                <w:sz w:val="22"/>
              </w:rPr>
              <w:t>Weak concordance (Spearman ρ = 0.04 at 7-cluster level, p = 0.94; ρ = 0.14 at 14-cell level, p = 0.62)</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H7</w:t>
            </w:r>
          </w:p>
        </w:tc>
        <w:tc>
          <w:tcPr>
            <w:tcW w:type="dxa" w:w="2340"/>
          </w:tcPr>
          <w:p>
            <w:r>
              <w:rPr>
                <w:rFonts w:ascii="Times New Roman" w:hAnsi="Times New Roman" w:eastAsia="Times New Roman"/>
                <w:b w:val="0"/>
                <w:sz w:val="22"/>
              </w:rPr>
              <w:t>IUT classification</w:t>
            </w:r>
          </w:p>
        </w:tc>
        <w:tc>
          <w:tcPr>
            <w:tcW w:type="dxa" w:w="2340"/>
          </w:tcPr>
          <w:p>
            <w:r>
              <w:rPr>
                <w:rFonts w:ascii="Times New Roman" w:hAnsi="Times New Roman" w:eastAsia="Times New Roman"/>
                <w:b w:val="0"/>
                <w:sz w:val="22"/>
              </w:rPr>
              <w:t>REVERSAL (robust across F = 0.3–1.0)</w:t>
            </w:r>
          </w:p>
        </w:tc>
        <w:tc>
          <w:tcPr>
            <w:tcW w:type="dxa" w:w="2340"/>
          </w:tcPr>
          <w:p>
            <w:r>
              <w:rPr>
                <w:rFonts w:ascii="Times New Roman" w:hAnsi="Times New Roman" w:eastAsia="Times New Roman"/>
                <w:b w:val="0"/>
                <w:sz w:val="22"/>
              </w:rPr>
              <w:t>REVERSAL (per pre-registered classification)</w:t>
            </w:r>
          </w:p>
        </w:tc>
      </w:tr>
    </w:tbl>
    <w:p>
      <w:pPr>
        <w:spacing w:line="480" w:lineRule="auto" w:before="0" w:after="0"/>
      </w:pPr>
    </w:p>
    <w:p>
      <w:pPr>
        <w:spacing w:line="480" w:lineRule="auto" w:before="0" w:after="0"/>
        <w:ind w:firstLine="720"/>
      </w:pPr>
      <w:r>
        <w:rPr>
          <w:rFonts w:ascii="Times New Roman" w:hAnsi="Times New Roman" w:eastAsia="Times New Roman"/>
          <w:sz w:val="24"/>
        </w:rPr>
        <w:t>The headline empirical finding is the H7 = REVERSAL classification with cross-cultural robustness, which we develop substantively in the Discussion.</w:t>
      </w:r>
    </w:p>
    <w:p>
      <w:r>
        <w:br w:type="page"/>
      </w:r>
    </w:p>
    <w:p>
      <w:pPr>
        <w:spacing w:line="480" w:lineRule="auto" w:before="0" w:after="0"/>
        <w:jc w:val="center"/>
      </w:pPr>
      <w:r>
        <w:rPr>
          <w:rFonts w:ascii="Times New Roman" w:hAnsi="Times New Roman" w:eastAsia="Times New Roman"/>
          <w:b/>
          <w:sz w:val="24"/>
        </w:rPr>
        <w:t>Principal findings</w:t>
      </w:r>
    </w:p>
    <w:p>
      <w:pPr>
        <w:spacing w:line="480" w:lineRule="auto" w:before="0" w:after="0"/>
        <w:ind w:firstLine="720"/>
      </w:pPr>
      <w:r>
        <w:rPr>
          <w:rFonts w:ascii="Times New Roman" w:hAnsi="Times New Roman" w:eastAsia="Times New Roman"/>
          <w:sz w:val="24"/>
        </w:rPr>
        <w:t>Three findings stand out from the pre-registered analysis pipeline:</w:t>
      </w:r>
    </w:p>
    <w:p>
      <w:pPr>
        <w:spacing w:line="480" w:lineRule="auto" w:before="0" w:after="0"/>
        <w:ind w:firstLine="720"/>
      </w:pPr>
      <w:r>
        <w:rPr>
          <w:rFonts w:ascii="Times New Roman" w:hAnsi="Times New Roman" w:eastAsia="Times New Roman"/>
          <w:b/>
          <w:sz w:val="24"/>
        </w:rPr>
        <w:t>Finding 1: Post-Power-Harassment-Prevention-Law prevalence is well predicted; pre-law is not.</w:t>
      </w:r>
      <w:r>
        <w:rPr>
          <w:rFonts w:ascii="Times New Roman" w:hAnsi="Times New Roman" w:eastAsia="Times New Roman"/>
          <w:sz w:val="24"/>
        </w:rPr>
        <w:t xml:space="preserve"> The model-based national prevalence (P̂ = 17.44%, after Statistics Bureau (MIC) 2022 working-population reweighting) attains MAPE = 9.65% against the FY2023 (post-law) target — a Standard SUCCESS classification (the 95% CI upper bound, 31.52%, narrowly exceeds the 30% Strict-criterion threshold) — but only PARTIAL SUCCESS against the FY2016 (pre-law) target (MAPE = 46.34%). A literal reading is that our HEXACO 7-typology × MIC-reweighted model captures the </w:t>
      </w:r>
      <w:r>
        <w:rPr>
          <w:rFonts w:ascii="Times New Roman" w:hAnsi="Times New Roman" w:eastAsia="Times New Roman"/>
          <w:i/>
          <w:sz w:val="24"/>
        </w:rPr>
        <w:t>post-law equilibrium</w:t>
      </w:r>
      <w:r>
        <w:rPr>
          <w:rFonts w:ascii="Times New Roman" w:hAnsi="Times New Roman" w:eastAsia="Times New Roman"/>
          <w:sz w:val="24"/>
        </w:rPr>
        <w:t xml:space="preserve"> of Japanese workplaces with high accuracy, but not the pre-law equilibrium. We do not interpret the FY2016 PARTIAL classification as a model failure; rather, the temporal heterogeneity is consistent with the 2020 Power Harassment Prevention Law functioning as a discontinuous structural shock that altered the underlying environmental contribution to harassment prevalence. The N = 354 sample, collected post-law, is "calibrated" to the post-law environment.</w:t>
      </w:r>
    </w:p>
    <w:p>
      <w:pPr>
        <w:spacing w:line="480" w:lineRule="auto" w:before="0" w:after="0"/>
        <w:ind w:firstLine="720"/>
      </w:pPr>
      <w:r>
        <w:rPr>
          <w:rFonts w:ascii="Times New Roman" w:hAnsi="Times New Roman" w:eastAsia="Times New Roman"/>
          <w:b/>
          <w:sz w:val="24"/>
        </w:rPr>
        <w:t>Finding 2: H7 = REVERSAL — the structural-intervention contrast exceeds the personality-intervention contrast in absolute magnitude.</w:t>
      </w:r>
      <w:r>
        <w:rPr>
          <w:rFonts w:ascii="Times New Roman" w:hAnsi="Times New Roman" w:eastAsia="Times New Roman"/>
          <w:sz w:val="24"/>
        </w:rPr>
        <w:t xml:space="preserve"> The pre-registered intersection-union test produced REVERSAL via the priority-1 condition (point ΔP_B &lt; point ΔP_C; L_BC = −0.0544 also lies below zero in the CI cascade, providing CI-based corroboration of REVERSAL that does not rely on the ΔP_B point estimate, which is downgraded to exploratory under the pre-registered positivity rule), indicating that the cell-level structural-intervention contrast (Counterfactual C; −20% propensity, calibrated against three meta-analyses of organizational anti-harassment interventions and the MHLW FY2016–FY2023 −13.2-percentage-point natural-experiment-like decline) is larger in absolute magnitude than both the universal personality-intervention contrast (Counterfactual A; +0.3 SD on H/A/E) and the targeted personality-intervention contrast on the low-prevalence subgroup (Counterfactual B; +0.40 SD on HH restricted to individuals whose baseline cluster ∈ {0, 4, 6}). The numerical ratio |ΔP_C| / |ΔP_A| ≈ 5.7 is robust across all four pre-registered cultural-attenuation factors (F = 0.3, 0.5, 0.7, 1.0), including the conservative worst-case anchor at F = 0.3. We interpret this ordering conditional on the prior meta-analytic and natural-experiment effect sizes used to calibrate each counterfactual; under those calibrations, the structural-pathway contrast is approximately five-fold larger in absolute population-level magnitude than the personality-pathway contrast.</w:t>
      </w:r>
    </w:p>
    <w:p>
      <w:pPr>
        <w:spacing w:line="480" w:lineRule="auto" w:before="0" w:after="0"/>
        <w:ind w:firstLine="720"/>
      </w:pPr>
      <w:r>
        <w:rPr>
          <w:rFonts w:ascii="Times New Roman" w:hAnsi="Times New Roman" w:eastAsia="Times New Roman"/>
          <w:b/>
          <w:sz w:val="24"/>
        </w:rPr>
        <w:t>Finding 3: The data are consistent with treating HEXACO 7-typology as a stratification variable rather than an intervention target.</w:t>
      </w:r>
      <w:r>
        <w:rPr>
          <w:rFonts w:ascii="Times New Roman" w:hAnsi="Times New Roman" w:eastAsia="Times New Roman"/>
          <w:sz w:val="24"/>
        </w:rPr>
        <w:t xml:space="preserve"> The Counterfactual A null result (ΔP_A = −0.0061, 95% CI crosses zero) indicates that shifting individual HEXACO scores by the realistic training-effect magnitudes drawn from Hudson and Fraley (2015) and Roberts et al. (2017) does not produce a population-level harassment-prevalence change that is statistically distinguishable from zero in this design. A natural reading is that the typology characterizes which subgroups are differentially exposed to harassment in the present cross-sectional sample but does not, on its own, identify a personality-based target whose modification would yield measurable aggregate-level prevalence change at this calibration. The contribution of this finding is theoretical: it constrains the inferences that observational HEXACO–harassment associations support, distinguishing population-level prevalence change from subgroup-level identification.</w:t>
      </w:r>
    </w:p>
    <w:p>
      <w:pPr>
        <w:spacing w:line="480" w:lineRule="auto" w:before="0" w:after="0"/>
        <w:jc w:val="center"/>
      </w:pPr>
      <w:r>
        <w:rPr>
          <w:rFonts w:ascii="Times New Roman" w:hAnsi="Times New Roman" w:eastAsia="Times New Roman"/>
          <w:b/>
          <w:sz w:val="24"/>
        </w:rPr>
        <w:t>The MHLW survey series as substantive context</w:t>
      </w:r>
    </w:p>
    <w:p>
      <w:pPr>
        <w:spacing w:line="480" w:lineRule="auto" w:before="0" w:after="0"/>
        <w:ind w:firstLine="720"/>
      </w:pPr>
      <w:r>
        <w:rPr>
          <w:rFonts w:ascii="Times New Roman" w:hAnsi="Times New Roman" w:eastAsia="Times New Roman"/>
          <w:sz w:val="24"/>
        </w:rPr>
        <w:t>The FY2016 → FY2023 decline in past-three-year power-harassment victimization documented by MHLW (32.5% → 19.3%; −13.2 percentage points) overlaps temporally with the staged enforcement of the 2020 Power Harassment Prevention Law (large enterprises, June 2020; SMEs, April 2022). Two stylized explanations for this decline are: (a) the regulatory environment shifted in ways that reduced harassment-supportive environmental affordances; or (b) the underlying personality distribution of Japanese workers shifted between 2016 and 2023.</w:t>
      </w:r>
    </w:p>
    <w:p>
      <w:pPr>
        <w:spacing w:line="480" w:lineRule="auto" w:before="0" w:after="0"/>
        <w:ind w:firstLine="720"/>
      </w:pPr>
      <w:r>
        <w:rPr>
          <w:rFonts w:ascii="Times New Roman" w:hAnsi="Times New Roman" w:eastAsia="Times New Roman"/>
          <w:sz w:val="24"/>
        </w:rPr>
        <w:t xml:space="preserve">The latter is implausible on demographic grounds: cohort-level changes in HEXACO traits over six years are unlikely to exceed 0.05 SD. Counterfactual A, which models a </w:t>
      </w:r>
      <w:r>
        <w:rPr>
          <w:rFonts w:ascii="Times New Roman" w:hAnsi="Times New Roman" w:eastAsia="Times New Roman"/>
          <w:i/>
          <w:sz w:val="24"/>
        </w:rPr>
        <w:t>six times larger</w:t>
      </w:r>
      <w:r>
        <w:rPr>
          <w:rFonts w:ascii="Times New Roman" w:hAnsi="Times New Roman" w:eastAsia="Times New Roman"/>
          <w:sz w:val="24"/>
        </w:rPr>
        <w:t xml:space="preserve"> personality shift (+0.3 SD on H/A/E), produced a null effect at the population level. The MHLW decline is therefore difficult to reconcile with personality drift alone. We refrain from claiming a formal causal estimate of the law's effect, because doing so would require a counterfactual design with explicit treatment timing, control units, and parallel-trends analysis that the present cross-sectional sample does not support. Instead, we treat the MHLW series as providing substantive context within which our pre-registered comparison of intervention contrasts can be interpreted.</w:t>
      </w:r>
    </w:p>
    <w:p>
      <w:pPr>
        <w:spacing w:line="480" w:lineRule="auto" w:before="0" w:after="0"/>
        <w:jc w:val="center"/>
      </w:pPr>
      <w:r>
        <w:rPr>
          <w:rFonts w:ascii="Times New Roman" w:hAnsi="Times New Roman" w:eastAsia="Times New Roman"/>
          <w:b/>
          <w:sz w:val="24"/>
        </w:rPr>
        <w:t>Reframing HEXACO: stratification rather than modification</w:t>
      </w:r>
    </w:p>
    <w:p>
      <w:pPr>
        <w:spacing w:line="480" w:lineRule="auto" w:before="0" w:after="0"/>
        <w:ind w:firstLine="720"/>
      </w:pPr>
      <w:r>
        <w:rPr>
          <w:rFonts w:ascii="Times New Roman" w:hAnsi="Times New Roman" w:eastAsia="Times New Roman"/>
          <w:sz w:val="24"/>
        </w:rPr>
        <w:t>A reframing emerges from the integrated reading of Counterfactual A's null and Counterfactual C's positive contrast. Observational findings of the form "low Honesty-Humility correlates with workplace harassment exposure" are sometimes read as supporting a prescription: train individuals to elevate their Honesty-Humility, or screen them on this dimension at hiring. The present results constrain that reading on two grounds.</w:t>
      </w:r>
    </w:p>
    <w:p>
      <w:pPr>
        <w:spacing w:line="480" w:lineRule="auto" w:before="0" w:after="0"/>
        <w:ind w:firstLine="720"/>
      </w:pPr>
      <w:r>
        <w:rPr>
          <w:rFonts w:ascii="Times New Roman" w:hAnsi="Times New Roman" w:eastAsia="Times New Roman"/>
          <w:sz w:val="24"/>
        </w:rPr>
        <w:t>First, observational correlation between HEXACO-H and harassment exposure is consistent with at least four causal models: direct causation (M1), selection (M2), confounding (M3), and reverse causation (M4). Our Counterfactual A null result is inconsistent with M1 as the dominant mechanism but cannot adjudicate among M2–M4. Under any of those three, modifying individuals' HEXACO scores would not modify the underlying mechanism (industry sorting, shared SES correlates, or cynicism induced by prior harassment exposure).</w:t>
      </w:r>
    </w:p>
    <w:p>
      <w:pPr>
        <w:spacing w:line="480" w:lineRule="auto" w:before="0" w:after="0"/>
        <w:ind w:firstLine="720"/>
      </w:pPr>
      <w:r>
        <w:rPr>
          <w:rFonts w:ascii="Times New Roman" w:hAnsi="Times New Roman" w:eastAsia="Times New Roman"/>
          <w:sz w:val="24"/>
        </w:rPr>
        <w:t>Second, even granting M1 as the operative mechanism, the +0.3 SD personality-shift represents the upper bound of empirically demonstrated training effects (Hudson &amp; Fraley, 2015; Roberts et al., 2017). The simulation shows that this upper-bound shift translates to a population-level prevalence change of −0.61 percentage points — within the ±2 pp band of MHLW year-on-year sampling noise and approximately five-fold smaller in absolute magnitude than the structural-intervention contrast.</w:t>
      </w:r>
    </w:p>
    <w:p>
      <w:pPr>
        <w:spacing w:line="480" w:lineRule="auto" w:before="0" w:after="0"/>
        <w:ind w:firstLine="720"/>
      </w:pPr>
      <w:r>
        <w:rPr>
          <w:rFonts w:ascii="Times New Roman" w:hAnsi="Times New Roman" w:eastAsia="Times New Roman"/>
          <w:sz w:val="24"/>
        </w:rPr>
        <w:t xml:space="preserve">The repositioning we draw is therefore narrow and theoretical: </w:t>
      </w:r>
      <w:r>
        <w:rPr>
          <w:rFonts w:ascii="Times New Roman" w:hAnsi="Times New Roman" w:eastAsia="Times New Roman"/>
          <w:b/>
          <w:sz w:val="24"/>
        </w:rPr>
        <w:t>the HEXACO 7-typology functions in this analysis as a stratification lens that characterizes differentially exposed subpopulations; the structural-intervention contrast in Counterfactual C is, by construction, applied uniformly across all 14 cells (cell-level propensities are multiplied by 0.80 with no cell-specific attenuation), so no subgroup is differentially excluded from the contrast at the analytic level. The data do not support reading the typology itself as a target of individual-level intervention.</w:t>
      </w:r>
      <w:r>
        <w:rPr>
          <w:rFonts w:ascii="Times New Roman" w:hAnsi="Times New Roman" w:eastAsia="Times New Roman"/>
          <w:sz w:val="24"/>
        </w:rPr>
        <w:t xml:space="preserve"> A corollary is that observational HEXACO–harassment associations are not, on their own, sufficient grounds for inferences about who "should" be modified or screened; we therefore caution against interpretations that read the typology in person-blame terms, because such readings outrun what the present analysis can support. The empirical question of whether real-world structural interventions exhibit cell-specific efficacy is left open and is flagged separately in the heterogeneity limitation below.</w:t>
      </w:r>
    </w:p>
    <w:p>
      <w:pPr>
        <w:spacing w:line="480" w:lineRule="auto" w:before="0" w:after="0"/>
        <w:jc w:val="center"/>
      </w:pPr>
      <w:r>
        <w:rPr>
          <w:rFonts w:ascii="Times New Roman" w:hAnsi="Times New Roman" w:eastAsia="Times New Roman"/>
          <w:b/>
          <w:sz w:val="24"/>
        </w:rPr>
        <w:t>Limitations</w:t>
      </w:r>
    </w:p>
    <w:p>
      <w:pPr>
        <w:spacing w:line="480" w:lineRule="auto" w:before="0" w:after="0"/>
        <w:jc w:val="left"/>
      </w:pPr>
      <w:r>
        <w:rPr>
          <w:rFonts w:ascii="Times New Roman" w:hAnsi="Times New Roman" w:eastAsia="Times New Roman"/>
          <w:b/>
          <w:sz w:val="24"/>
        </w:rPr>
        <w:t>Reduced-form framing of Counterfactual C</w:t>
      </w:r>
    </w:p>
    <w:p>
      <w:pPr>
        <w:spacing w:line="480" w:lineRule="auto" w:before="0" w:after="0"/>
        <w:ind w:firstLine="720"/>
      </w:pPr>
      <w:r>
        <w:rPr>
          <w:rFonts w:ascii="Times New Roman" w:hAnsi="Times New Roman" w:eastAsia="Times New Roman"/>
          <w:sz w:val="24"/>
        </w:rPr>
        <w:t xml:space="preserve">The most important limitation, identified through dialogue with an external methodologist, concerns the </w:t>
      </w:r>
      <w:r>
        <w:rPr>
          <w:rFonts w:ascii="Times New Roman" w:hAnsi="Times New Roman" w:eastAsia="Times New Roman"/>
          <w:i/>
          <w:sz w:val="24"/>
        </w:rPr>
        <w:t>reduced-form</w:t>
      </w:r>
      <w:r>
        <w:rPr>
          <w:rFonts w:ascii="Times New Roman" w:hAnsi="Times New Roman" w:eastAsia="Times New Roman"/>
          <w:sz w:val="24"/>
        </w:rPr>
        <w:t xml:space="preserve"> nature of Counterfactual C. Operationally, Counterfactual C reduces cell-level propensity by 20% uniformly, leaving HEXACO scores and cluster memberships unchanged. This is a population-level statistical translation of structural change; the simulation does not endogenously model the psychological mechanisms — deterrence, perceived reporting risk, social cost, peer monitoring — through which institutional intervention actually reduces harassment behavior.</w:t>
      </w:r>
    </w:p>
    <w:p>
      <w:pPr>
        <w:spacing w:line="480" w:lineRule="auto" w:before="0" w:after="0"/>
        <w:ind w:firstLine="720"/>
      </w:pPr>
      <w:r>
        <w:rPr>
          <w:rFonts w:ascii="Times New Roman" w:hAnsi="Times New Roman" w:eastAsia="Times New Roman"/>
          <w:sz w:val="24"/>
        </w:rPr>
        <w:t>The simulation's contribution is therefore narrower than a mechanistic claim: it provides an apples-to-apples translation of prior meta-analytic effect sizes for structural interventions (Salin, 2021; Escartín, 2016; Hodgins et al., 2014; calibrated against MHLW 2020 Law natural experiment) into the same population-level prevalence metric used for the personality intervention (calibrated against Hudson &amp; Fraley, 2015; Roberts et al., 2017). The conclusion |ΔP_C| ≫ |ΔP_A| is conditional on these prior effect-size estimates being unbiased.</w:t>
      </w:r>
    </w:p>
    <w:p>
      <w:pPr>
        <w:spacing w:line="480" w:lineRule="auto" w:before="0" w:after="0"/>
        <w:ind w:firstLine="720"/>
      </w:pPr>
      <w:r>
        <w:rPr>
          <w:rFonts w:ascii="Times New Roman" w:hAnsi="Times New Roman" w:eastAsia="Times New Roman"/>
          <w:sz w:val="24"/>
        </w:rPr>
        <w:t>A mechanistically richer extension would adopt agent-based modeling (Schelling, 1971; Park et al., 2023) with explicit deterrence dynamics, individual-level perceived risk, and interaction with peers. Such extensions are beyond the scope of v2.0 pre-registration but are pre-flagged as Phase 2 follow-up work in the present manuscript.</w:t>
      </w:r>
    </w:p>
    <w:p>
      <w:pPr>
        <w:spacing w:line="480" w:lineRule="auto" w:before="0" w:after="0"/>
        <w:jc w:val="left"/>
      </w:pPr>
      <w:r>
        <w:rPr>
          <w:rFonts w:ascii="Times New Roman" w:hAnsi="Times New Roman" w:eastAsia="Times New Roman"/>
          <w:b/>
          <w:sz w:val="24"/>
        </w:rPr>
        <w:t>Causal under-identification among M2/M3/M4</w:t>
      </w:r>
    </w:p>
    <w:p>
      <w:pPr>
        <w:spacing w:line="480" w:lineRule="auto" w:before="0" w:after="0"/>
        <w:ind w:firstLine="720"/>
      </w:pPr>
      <w:r>
        <w:rPr>
          <w:rFonts w:ascii="Times New Roman" w:hAnsi="Times New Roman" w:eastAsia="Times New Roman"/>
          <w:sz w:val="24"/>
        </w:rPr>
        <w:t>Our analysis is inconsistent with M1 (direct personality-causation of harassment) as the dominant mechanism but cannot distinguish among M2 (selection into harassment-prone environments), M3 (confounding via SES/educational/economic factors), or M4 (reverse causation: harassment depresses HEXACO-H scores via cynicism). Each of M2–M4 is consistent with our Counterfactual A null result. Identification would require either: (a) an exogenous shock or instrumental variable affecting HEXACO scores independent of harassment exposure; (b) a longitudinal design with pre-employment HEXACO measurement; or (c) a sibling/twin-controlled design. None of these is feasible within the present cross-sectional preregistration. Consequently, the substantive interpretation of the low-HH–harassment association is left open at the level of mechanism, while the substantive ordering reported here (structural-pathway contrast dominates personality-pathway contrast in absolute magnitude under the calibrated effect sizes) is unaffected.</w:t>
      </w:r>
    </w:p>
    <w:p>
      <w:pPr>
        <w:spacing w:line="480" w:lineRule="auto" w:before="0" w:after="0"/>
        <w:jc w:val="left"/>
      </w:pPr>
      <w:r>
        <w:rPr>
          <w:rFonts w:ascii="Times New Roman" w:hAnsi="Times New Roman" w:eastAsia="Times New Roman"/>
          <w:b/>
          <w:sz w:val="24"/>
        </w:rPr>
        <w:t>Heterogeneity in counterfactual response</w:t>
      </w:r>
    </w:p>
    <w:p>
      <w:pPr>
        <w:spacing w:line="480" w:lineRule="auto" w:before="0" w:after="0"/>
        <w:ind w:firstLine="720"/>
      </w:pPr>
      <w:r>
        <w:rPr>
          <w:rFonts w:ascii="Times New Roman" w:hAnsi="Times New Roman" w:eastAsia="Times New Roman"/>
          <w:sz w:val="24"/>
        </w:rPr>
        <w:t>Counterfactual C is operationalized as a uniform 20% reduction across all 14 cells. In reality, structural interventions plausibly differ in efficacy across HEXACO 7-typology × gender combinations: cell-specific intervention effects could amplify or attenuate the global average. Our analysis does not estimate cell-specific intervention efficacy. A natural extension is to allow ΔP_C to vary by cell, parameterized as a multiplicative factor F_c per cell, and to estimate F_c via auxiliary data (e.g., MHLW industry × gender breakdowns of intervention adoption).</w:t>
      </w:r>
    </w:p>
    <w:p>
      <w:pPr>
        <w:spacing w:line="480" w:lineRule="auto" w:before="0" w:after="0"/>
        <w:jc w:val="left"/>
      </w:pPr>
      <w:r>
        <w:rPr>
          <w:rFonts w:ascii="Times New Roman" w:hAnsi="Times New Roman" w:eastAsia="Times New Roman"/>
          <w:b/>
          <w:sz w:val="24"/>
        </w:rPr>
        <w:t>Static framing</w:t>
      </w:r>
    </w:p>
    <w:p>
      <w:pPr>
        <w:spacing w:line="480" w:lineRule="auto" w:before="0" w:after="0"/>
        <w:ind w:firstLine="720"/>
      </w:pPr>
      <w:r>
        <w:rPr>
          <w:rFonts w:ascii="Times New Roman" w:hAnsi="Times New Roman" w:eastAsia="Times New Roman"/>
          <w:sz w:val="24"/>
        </w:rPr>
        <w:t>The simulation produces a single population-level snapshot under each counterfactual; it does not model dynamic effects such as institutional erosion (intervention efficacy decay over time), behavioral adaptation (perpetrator response), or composition change (workforce HEXACO drift). Stage 8's transportability factor sweep partially addresses this concern by stress-testing the conclusion against attenuation, but a fully dynamic agent-based extension is required for endogenous modeling of these mechanisms.</w:t>
      </w:r>
    </w:p>
    <w:p>
      <w:pPr>
        <w:spacing w:line="480" w:lineRule="auto" w:before="0" w:after="0"/>
        <w:jc w:val="left"/>
      </w:pPr>
      <w:r>
        <w:rPr>
          <w:rFonts w:ascii="Times New Roman" w:hAnsi="Times New Roman" w:eastAsia="Times New Roman"/>
          <w:b/>
          <w:sz w:val="24"/>
        </w:rPr>
        <w:t>Cluster-proportion limitation (cluster mass fixed at the Tokiwa 2026 values)</w:t>
      </w:r>
    </w:p>
    <w:p>
      <w:pPr>
        <w:spacing w:line="480" w:lineRule="auto" w:before="0" w:after="0"/>
        <w:ind w:firstLine="720"/>
      </w:pPr>
      <w:r>
        <w:rPr>
          <w:rFonts w:ascii="Times New Roman" w:hAnsi="Times New Roman" w:eastAsia="Times New Roman"/>
          <w:sz w:val="24"/>
        </w:rPr>
        <w:t>The 7-cluster proportions used in Stage 1 reweighting remain fixed at the Tokiwa (2026) values for N = 13,668; only the gender marginal is updated to the Statistics Bureau (MIC) 2022 working-population value. This is a conscious limitation, acknowledged in pre-registration: the Labour Force Survey does not capture HEXACO cluster membership, so the cluster proportions cannot be updated. The OAT sensitivity sweep over cluster mass shifts (Results — Sensitivity sweep) shows that the H1 conclusion depends on the cluster proportions, with MAPE ranging from 34.55% (favorable composition) to 56.47% (unfavorable). We disclose this dependency explicitly and recommend that future Phase 2 work integrate larger-sample HEXACO surveys (e.g., the JLPS panel) to relax this constraint.</w:t>
      </w:r>
    </w:p>
    <w:p>
      <w:pPr>
        <w:spacing w:line="480" w:lineRule="auto" w:before="0" w:after="0"/>
        <w:jc w:val="left"/>
      </w:pPr>
      <w:r>
        <w:rPr>
          <w:rFonts w:ascii="Times New Roman" w:hAnsi="Times New Roman" w:eastAsia="Times New Roman"/>
          <w:b/>
          <w:sz w:val="24"/>
        </w:rPr>
        <w:t>Sample-size and external-validity caveats</w:t>
      </w:r>
    </w:p>
    <w:p>
      <w:pPr>
        <w:spacing w:line="480" w:lineRule="auto" w:before="0" w:after="0"/>
        <w:ind w:firstLine="720"/>
      </w:pPr>
      <w:r>
        <w:rPr>
          <w:rFonts w:ascii="Times New Roman" w:hAnsi="Times New Roman" w:eastAsia="Times New Roman"/>
          <w:sz w:val="24"/>
        </w:rPr>
        <w:t>The N = 354 individual-level harassment sample is demographically heterogeneous within Japan but does not match the MHLW survey's sampling frame perfectly. The cell sizes range from 10 to 70 (median 18); some cells contribute weakly to per-cell propensity precision. The sensitivity sweep over EB shrinkage scale (Results — Sensitivity sweep) confirms that estimates are robust to alternative shrinkage strengths, but precision could be improved with larger samples. We have refrained from pooling additional samples to preserve pre-registration integrity; future replication studies are encouraged.</w:t>
      </w:r>
    </w:p>
    <w:p>
      <w:pPr>
        <w:spacing w:line="480" w:lineRule="auto" w:before="0" w:after="0"/>
        <w:jc w:val="center"/>
      </w:pPr>
      <w:r>
        <w:rPr>
          <w:rFonts w:ascii="Times New Roman" w:hAnsi="Times New Roman" w:eastAsia="Times New Roman"/>
          <w:b/>
          <w:sz w:val="24"/>
        </w:rPr>
        <w:t>Research implications</w:t>
      </w:r>
    </w:p>
    <w:p>
      <w:pPr>
        <w:spacing w:line="480" w:lineRule="auto" w:before="0" w:after="0"/>
        <w:ind w:firstLine="720"/>
      </w:pPr>
      <w:r>
        <w:rPr>
          <w:rFonts w:ascii="Times New Roman" w:hAnsi="Times New Roman" w:eastAsia="Times New Roman"/>
          <w:sz w:val="24"/>
        </w:rPr>
        <w:t>The integrated findings carry three implications for subsequent research, framed at the level of theory and empirical priority rather than as prescriptive recommendations to any particular institution.</w:t>
      </w:r>
    </w:p>
    <w:p>
      <w:pPr>
        <w:spacing w:line="480" w:lineRule="auto" w:before="0" w:after="0"/>
        <w:ind w:firstLine="720"/>
      </w:pPr>
      <w:r>
        <w:rPr>
          <w:rFonts w:ascii="Times New Roman" w:hAnsi="Times New Roman" w:eastAsia="Times New Roman"/>
          <w:sz w:val="24"/>
        </w:rPr>
        <w:t xml:space="preserve">1. </w:t>
      </w:r>
      <w:r>
        <w:rPr>
          <w:rFonts w:ascii="Times New Roman" w:hAnsi="Times New Roman" w:eastAsia="Times New Roman"/>
          <w:b/>
          <w:sz w:val="24"/>
        </w:rPr>
        <w:t>Calibrated counterfactual comparison as a methodological template.</w:t>
      </w:r>
      <w:r>
        <w:rPr>
          <w:rFonts w:ascii="Times New Roman" w:hAnsi="Times New Roman" w:eastAsia="Times New Roman"/>
          <w:sz w:val="24"/>
        </w:rPr>
        <w:t xml:space="preserve"> When two intervention pathways are debated at the level of population-level efficacy but each is supported by a separate, non-comparable evidence base (training-effect meta-analyses on the personality side; organizational-intervention meta-analyses on the structural side), a microsimulation that propagates each effect-size calibration through a common population denominator provides an apples-to-apples comparison metric. The present study illustrates this template for the HEXACO–harassment context; analogous applications to other trait–outcome dyads (e.g., conscientiousness–performance, emotional stability–burnout) are a natural extension. 2. </w:t>
      </w:r>
      <w:r>
        <w:rPr>
          <w:rFonts w:ascii="Times New Roman" w:hAnsi="Times New Roman" w:eastAsia="Times New Roman"/>
          <w:b/>
          <w:sz w:val="24"/>
        </w:rPr>
        <w:t>Identification limits of HEXACO-based screening as an empirical question.</w:t>
      </w:r>
      <w:r>
        <w:rPr>
          <w:rFonts w:ascii="Times New Roman" w:hAnsi="Times New Roman" w:eastAsia="Times New Roman"/>
          <w:sz w:val="24"/>
        </w:rPr>
        <w:t xml:space="preserve"> The use of HEXACO scores in pre-employment screening to predict harassment-related risk presupposes a direct-causation reading of HEXACO–harassment associations that the present null result for Counterfactual A does not support. Because our analysis cannot adjudicate among selection (M2), confounding (M3), and reverse causation (M4), the screening question remains underdetermined and would benefit from longitudinal designs with pre-employment HEXACO measurement, sibling/twin-controlled designs, or instrumental-variable approaches. 3. </w:t>
      </w:r>
      <w:r>
        <w:rPr>
          <w:rFonts w:ascii="Times New Roman" w:hAnsi="Times New Roman" w:eastAsia="Times New Roman"/>
          <w:b/>
          <w:sz w:val="24"/>
        </w:rPr>
        <w:t>Structural-intervention efficacy as a heterogeneity question.</w:t>
      </w:r>
      <w:r>
        <w:rPr>
          <w:rFonts w:ascii="Times New Roman" w:hAnsi="Times New Roman" w:eastAsia="Times New Roman"/>
          <w:sz w:val="24"/>
        </w:rPr>
        <w:t xml:space="preserve"> Counterfactual C is operationalized as a uniform 20% reduction across all 14 cells. A natural empirical extension is to estimate cell-specific structural-intervention efficacy F_c using auxiliary data linking adoption of organizational reforms to harassment-prevalence change, allowing the global ordering reported here to be refined into subgroup-specific estimates. Such estimates would also inform the substantive interpretation of the MHLW FY2016 → FY2023 decline, which the present design treats as substantive context rather than as a formal causal estimand.</w:t>
      </w:r>
    </w:p>
    <w:p>
      <w:pPr>
        <w:spacing w:line="480" w:lineRule="auto" w:before="0" w:after="0"/>
        <w:jc w:val="center"/>
      </w:pPr>
      <w:r>
        <w:rPr>
          <w:rFonts w:ascii="Times New Roman" w:hAnsi="Times New Roman" w:eastAsia="Times New Roman"/>
          <w:b/>
          <w:sz w:val="24"/>
        </w:rPr>
        <w:t>Conclusion</w:t>
      </w:r>
    </w:p>
    <w:p>
      <w:pPr>
        <w:spacing w:line="480" w:lineRule="auto" w:before="0" w:after="0"/>
        <w:ind w:firstLine="720"/>
      </w:pPr>
      <w:r>
        <w:rPr>
          <w:rFonts w:ascii="Times New Roman" w:hAnsi="Times New Roman" w:eastAsia="Times New Roman"/>
          <w:sz w:val="24"/>
        </w:rPr>
        <w:t>We pre-registered and executed a HEXACO 7-typology workplace-harassment microsimulation that emulates a target trial of three counterfactual interventions in Japan. The null contrasts for the personality-intervention counterfactuals (ΔP_A = −0.0061 and ΔP_B = −0.0059, both with 95% CIs crossing zero) and the positive contrast for the structural-intervention counterfactual (ΔP_C = +0.0349, 95% CI excluding zero), together with the H7 IUT classification of REVERSAL across all four pre-registered cultural-attenuation factors, indicate that — under the prior meta-analytic effect sizes from which each counterfactual was calibrated — the absolute population-level magnitude of the structural-pathway contrast exceeds that of the personality-pathway contrast by approximately five-fold. The MHLW FY2016 → FY2023 13.2 pp decline provides substantive context for this ordering rather than a formal causal estimand. We argue, narrowly, that the analysis is consistent with treating HEXACO 7-typology as a stratification lens identifying differentially exposed subpopulations rather than as a target for individual-level intervention, and we caution against interpretations that outrun this evidence. All code, data, and intermediate artifacts are publicly available under MIT license; full reproducibility is verified via SHA-256 hash comparison against the v2.0 OSF registration.</w:t>
      </w:r>
    </w:p>
    <w:p>
      <w:r>
        <w:br w:type="page"/>
      </w:r>
    </w:p>
    <w:p>
      <w:pPr>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Ashton, M. C., &amp; Lee, K. (2007). Empirical, theoretical, and practical advantages of the HEXACO model of personality structure. Personality and Social Psychology Review, 11(2), 150–166. https://doi.org/10.1177/1088868306294907</w:t>
      </w:r>
    </w:p>
    <w:p>
      <w:pPr>
        <w:spacing w:line="480" w:lineRule="auto" w:before="0" w:after="0"/>
        <w:ind w:left="720" w:hanging="720"/>
      </w:pPr>
      <w:r>
        <w:rPr>
          <w:rFonts w:ascii="Times New Roman" w:hAnsi="Times New Roman" w:eastAsia="Times New Roman"/>
          <w:sz w:val="24"/>
        </w:rPr>
        <w:t>Ashton, M. C., &amp; Lee, K. (2009). The HEXACO-60: A short measure of the major dimensions of personality. Journal of Personality Assessment, 91(4), 340–345. https://doi.org/10.1080/00223890902935878</w:t>
      </w:r>
    </w:p>
    <w:p>
      <w:pPr>
        <w:spacing w:line="480" w:lineRule="auto" w:before="0" w:after="0"/>
        <w:ind w:left="720" w:hanging="720"/>
      </w:pPr>
      <w:r>
        <w:rPr>
          <w:rFonts w:ascii="Times New Roman" w:hAnsi="Times New Roman" w:eastAsia="Times New Roman"/>
          <w:sz w:val="24"/>
        </w:rPr>
        <w:t>Berger, R. L., &amp; Hsu, J. C. (1996). Bioequivalence trials, intersection-union tests and equivalence confidence sets. Statistical Science, 11(4), 283–319. https://doi.org/10.1214/ss/1032280304</w:t>
      </w:r>
    </w:p>
    <w:p>
      <w:pPr>
        <w:spacing w:line="480" w:lineRule="auto" w:before="0" w:after="0"/>
        <w:ind w:left="720" w:hanging="720"/>
      </w:pPr>
      <w:r>
        <w:rPr>
          <w:rFonts w:ascii="Times New Roman" w:hAnsi="Times New Roman" w:eastAsia="Times New Roman"/>
          <w:sz w:val="24"/>
        </w:rPr>
        <w:t>Carlin, B. P., &amp; Louis, T. A. (2000). Bayes and empirical Bayes methods for data analysis (2nd ed.). Chapman &amp; Hall/CRC.</w:t>
      </w:r>
    </w:p>
    <w:p>
      <w:pPr>
        <w:spacing w:line="480" w:lineRule="auto" w:before="0" w:after="0"/>
        <w:ind w:left="720" w:hanging="720"/>
      </w:pPr>
      <w:r>
        <w:rPr>
          <w:rFonts w:ascii="Times New Roman" w:hAnsi="Times New Roman" w:eastAsia="Times New Roman"/>
          <w:sz w:val="24"/>
        </w:rPr>
        <w:t>Efron, B. (1987). Better bootstrap confidence intervals. Journal of the American Statistical Association, 82(397), 171–185. https://doi.org/10.1080/01621459.1987.10478410</w:t>
      </w:r>
    </w:p>
    <w:p>
      <w:pPr>
        <w:spacing w:line="480" w:lineRule="auto" w:before="0" w:after="0"/>
        <w:ind w:left="720" w:hanging="720"/>
      </w:pPr>
      <w:r>
        <w:rPr>
          <w:rFonts w:ascii="Times New Roman" w:hAnsi="Times New Roman" w:eastAsia="Times New Roman"/>
          <w:sz w:val="24"/>
        </w:rPr>
        <w:t>Escartín, J. (2016). Insights into workplace bullying: Psychosocial drivers and effective interventions. Psychology Research and Behavior Management, 9, 157–169. https://doi.org/10.2147/PRBM.S91211</w:t>
      </w:r>
    </w:p>
    <w:p>
      <w:pPr>
        <w:spacing w:line="480" w:lineRule="auto" w:before="0" w:after="0"/>
        <w:ind w:left="720" w:hanging="720"/>
      </w:pPr>
      <w:r>
        <w:rPr>
          <w:rFonts w:ascii="Times New Roman" w:hAnsi="Times New Roman" w:eastAsia="Times New Roman"/>
          <w:sz w:val="24"/>
        </w:rPr>
        <w:t>Glasø, L., Matthiesen, S. B., Nielsen, M. B., &amp; Einarsen, S. (2007). Do targets of workplace bullying portray a general victim personality profile? Scandinavian Journal of Psychology, 48(4), 313–319. https://doi.org/10.1111/j.1467-9450.2007.00554.x</w:t>
      </w:r>
    </w:p>
    <w:p>
      <w:pPr>
        <w:spacing w:line="480" w:lineRule="auto" w:before="0" w:after="0"/>
        <w:ind w:left="720" w:hanging="720"/>
      </w:pPr>
      <w:r>
        <w:rPr>
          <w:rFonts w:ascii="Times New Roman" w:hAnsi="Times New Roman" w:eastAsia="Times New Roman"/>
          <w:sz w:val="24"/>
        </w:rPr>
        <w:t>Hernán, M. A., &amp; Robins, J. M. (2016). Using big data to emulate a target trial when a randomized trial is not available. American Journal of Epidemiology, 183(8), 758–764. https://doi.org/10.1093/aje/kwv254</w:t>
      </w:r>
    </w:p>
    <w:p>
      <w:pPr>
        <w:spacing w:line="480" w:lineRule="auto" w:before="0" w:after="0"/>
        <w:ind w:left="720" w:hanging="720"/>
      </w:pPr>
      <w:r>
        <w:rPr>
          <w:rFonts w:ascii="Times New Roman" w:hAnsi="Times New Roman" w:eastAsia="Times New Roman"/>
          <w:sz w:val="24"/>
        </w:rPr>
        <w:t>Hernán, M. A., &amp; Robins, J. M. (2020). Causal inference: What if. Chapman &amp; Hall/CRC. https://www.hsph.harvard.edu/miguel-hernan/causal-inference-book/</w:t>
      </w:r>
    </w:p>
    <w:p>
      <w:pPr>
        <w:spacing w:line="480" w:lineRule="auto" w:before="0" w:after="0"/>
        <w:ind w:left="720" w:hanging="720"/>
      </w:pPr>
      <w:r>
        <w:rPr>
          <w:rFonts w:ascii="Times New Roman" w:hAnsi="Times New Roman" w:eastAsia="Times New Roman"/>
          <w:sz w:val="24"/>
        </w:rPr>
        <w:t>Hershcovis, M. S., &amp; Barling, J. (2010). Towards a multi-foci approach to workplace aggression: A meta-analytic review of outcomes from different perpetrators. Journal of Organizational Behavior, 31(1), 24–44. https://doi.org/10.1002/job.621</w:t>
      </w:r>
    </w:p>
    <w:p>
      <w:pPr>
        <w:spacing w:line="480" w:lineRule="auto" w:before="0" w:after="0"/>
        <w:ind w:left="720" w:hanging="720"/>
      </w:pPr>
      <w:r>
        <w:rPr>
          <w:rFonts w:ascii="Times New Roman" w:hAnsi="Times New Roman" w:eastAsia="Times New Roman"/>
          <w:sz w:val="24"/>
        </w:rPr>
        <w:t>Hodgins, M., MacCurtain, S., &amp; Mannix-McNamara, P. (2014). Workplace bullying and incivility: A systematic review of interventions. International Journal of Workplace Health Management, 7(1), 54–72. https://doi.org/10.1108/IJWHM-08-2013-0030</w:t>
      </w:r>
    </w:p>
    <w:p>
      <w:pPr>
        <w:spacing w:line="480" w:lineRule="auto" w:before="0" w:after="0"/>
        <w:ind w:left="720" w:hanging="720"/>
      </w:pPr>
      <w:r>
        <w:rPr>
          <w:rFonts w:ascii="Times New Roman" w:hAnsi="Times New Roman" w:eastAsia="Times New Roman"/>
          <w:sz w:val="24"/>
        </w:rPr>
        <w:t>Hudgens, M. G., &amp; Halloran, M. E. (2008). Toward causal inference with interference. Journal of the American Statistical Association, 103(482), 832–842. https://doi.org/10.1198/016214508000000292</w:t>
      </w:r>
    </w:p>
    <w:p>
      <w:pPr>
        <w:spacing w:line="480" w:lineRule="auto" w:before="0" w:after="0"/>
        <w:ind w:left="720" w:hanging="720"/>
      </w:pPr>
      <w:r>
        <w:rPr>
          <w:rFonts w:ascii="Times New Roman" w:hAnsi="Times New Roman" w:eastAsia="Times New Roman"/>
          <w:sz w:val="24"/>
        </w:rPr>
        <w:t>Hudson, N. W., &amp; Fraley, R. C. (2015). Volitional personality trait change: Can people choose to change their personality traits? Journal of Personality and Social Psychology, 109(3), 490–507. https://doi.org/10.1037/pspp0000021</w:t>
      </w:r>
    </w:p>
    <w:p>
      <w:pPr>
        <w:spacing w:line="480" w:lineRule="auto" w:before="0" w:after="0"/>
        <w:ind w:left="720" w:hanging="720"/>
      </w:pPr>
      <w:r>
        <w:rPr>
          <w:rFonts w:ascii="Times New Roman" w:hAnsi="Times New Roman" w:eastAsia="Times New Roman"/>
          <w:sz w:val="24"/>
        </w:rPr>
        <w:t>Kobayashi, A., &amp; Tanaka, K. (2010). Development of the Gender Harassment Scale. Japanese Journal of Industrial and Organizational Psychology, 24(1), 15–27. https://doi.org/10.32222/jaiop.24.1_15 [in Japanese]</w:t>
      </w:r>
    </w:p>
    <w:p>
      <w:pPr>
        <w:spacing w:line="480" w:lineRule="auto" w:before="0" w:after="0"/>
        <w:ind w:left="720" w:hanging="720"/>
      </w:pPr>
      <w:r>
        <w:rPr>
          <w:rFonts w:ascii="Times New Roman" w:hAnsi="Times New Roman" w:eastAsia="Times New Roman"/>
          <w:sz w:val="24"/>
        </w:rPr>
        <w:t>Lee, K., Ashton, M. C., Wiltshire, J., Bourdage, J. S., Visser, B. A., &amp; Gallucci, A. (2013). Sex, power, and money: Prediction from the Dark Triad and Honesty-Humility. European Journal of Personality, 27(2), 169–184. https://doi.org/10.1002/per.1860</w:t>
      </w:r>
    </w:p>
    <w:p>
      <w:pPr>
        <w:spacing w:line="480" w:lineRule="auto" w:before="0" w:after="0"/>
        <w:ind w:left="720" w:hanging="720"/>
      </w:pPr>
      <w:r>
        <w:rPr>
          <w:rFonts w:ascii="Times New Roman" w:hAnsi="Times New Roman" w:eastAsia="Times New Roman"/>
          <w:sz w:val="24"/>
        </w:rPr>
        <w:t>Lindell, M. K., &amp; Whitney, D. J. (2001). Accounting for common method variance in cross-sectional research designs. Journal of Applied Psychology, 86(1), 114–121. https://doi.org/10.1037/0021-9010.86.1.114</w:t>
      </w:r>
    </w:p>
    <w:p>
      <w:pPr>
        <w:spacing w:line="480" w:lineRule="auto" w:before="0" w:after="0"/>
        <w:ind w:left="720" w:hanging="720"/>
      </w:pPr>
      <w:r>
        <w:rPr>
          <w:rFonts w:ascii="Times New Roman" w:hAnsi="Times New Roman" w:eastAsia="Times New Roman"/>
          <w:sz w:val="24"/>
        </w:rPr>
        <w:t>Linton, D. K., &amp; Power, J. L. (2013). The personality traits of workplace bullies are often shared by their victims: Is there a dark side to victims? Personality and Individual Differences, 54(6), 738–743. https://doi.org/10.1016/j.paid.2012.11.026</w:t>
      </w:r>
    </w:p>
    <w:p>
      <w:pPr>
        <w:spacing w:line="480" w:lineRule="auto" w:before="0" w:after="0"/>
        <w:ind w:left="720" w:hanging="720"/>
      </w:pPr>
      <w:r>
        <w:rPr>
          <w:rFonts w:ascii="Times New Roman" w:hAnsi="Times New Roman" w:eastAsia="Times New Roman"/>
          <w:sz w:val="24"/>
        </w:rPr>
        <w:t>Mikkelsen, E. G., Hansen, Å. M., Persson, R., Byrgesen, M. F., &amp; Hogh, A. (2020). Individual consequences of being exposed to workplace bullying. In S. Einarsen, H. Hoel, D. Zapf, &amp; C. L. Cooper (Eds.), Bullying and harassment in the workplace: Theory, research and practice (3rd ed., pp. 163–208). CRC Press. https://doi.org/10.1201/9780429462528-6</w:t>
      </w:r>
    </w:p>
    <w:p>
      <w:pPr>
        <w:spacing w:line="480" w:lineRule="auto" w:before="0" w:after="0"/>
        <w:ind w:left="720" w:hanging="720"/>
      </w:pPr>
      <w:r>
        <w:rPr>
          <w:rFonts w:ascii="Times New Roman" w:hAnsi="Times New Roman" w:eastAsia="Times New Roman"/>
          <w:sz w:val="24"/>
        </w:rPr>
        <w:t>Ministry of Health, Labour and Welfare (MHLW). (2017). Workplace harassment survey: H28 (FY2016) results [Original report in Japanese]. https://www.mhlw.go.jp/</w:t>
      </w:r>
    </w:p>
    <w:p>
      <w:pPr>
        <w:spacing w:line="480" w:lineRule="auto" w:before="0" w:after="0"/>
        <w:ind w:left="720" w:hanging="720"/>
      </w:pPr>
      <w:r>
        <w:rPr>
          <w:rFonts w:ascii="Times New Roman" w:hAnsi="Times New Roman" w:eastAsia="Times New Roman"/>
          <w:sz w:val="24"/>
        </w:rPr>
        <w:t>Ministry of Health, Labour and Welfare (MHLW). (2021). Workplace harassment survey: R2 (FY2020) results [Original report in Japanese]. https://www.mhlw.go.jp/</w:t>
      </w:r>
    </w:p>
    <w:p>
      <w:pPr>
        <w:spacing w:line="480" w:lineRule="auto" w:before="0" w:after="0"/>
        <w:ind w:left="720" w:hanging="720"/>
      </w:pPr>
      <w:r>
        <w:rPr>
          <w:rFonts w:ascii="Times New Roman" w:hAnsi="Times New Roman" w:eastAsia="Times New Roman"/>
          <w:sz w:val="24"/>
        </w:rPr>
        <w:t>Ministry of Health, Labour and Welfare (MHLW). (2024). Workplace harassment survey: R5 (FY2023) results [Original report in Japanese]. https://www.mhlw.go.jp/</w:t>
      </w:r>
    </w:p>
    <w:p>
      <w:pPr>
        <w:spacing w:line="480" w:lineRule="auto" w:before="0" w:after="0"/>
        <w:ind w:left="720" w:hanging="720"/>
      </w:pPr>
      <w:r>
        <w:rPr>
          <w:rFonts w:ascii="Times New Roman" w:hAnsi="Times New Roman" w:eastAsia="Times New Roman"/>
          <w:sz w:val="24"/>
        </w:rPr>
        <w:t>Nielsen, M. B., Glasø, L., &amp; Einarsen, S. (2017). Exposure to workplace harassment and the Five Factor Model of personality: A meta-analysis. Personality and Individual Differences, 104, 195–206. https://doi.org/10.1016/j.paid.2016.08.015</w:t>
      </w:r>
    </w:p>
    <w:p>
      <w:pPr>
        <w:spacing w:line="480" w:lineRule="auto" w:before="0" w:after="0"/>
        <w:ind w:left="720" w:hanging="720"/>
      </w:pPr>
      <w:r>
        <w:rPr>
          <w:rFonts w:ascii="Times New Roman" w:hAnsi="Times New Roman" w:eastAsia="Times New Roman"/>
          <w:sz w:val="24"/>
        </w:rPr>
        <w:t>Page, E. B. (1963). Ordered hypotheses for multiple treatments: A significance test for linear ranks. Journal of the American Statistical Association, 58(301), 216–230. https://doi.org/10.1080/01621459.1963.10500843</w:t>
      </w:r>
    </w:p>
    <w:p>
      <w:pPr>
        <w:spacing w:line="480" w:lineRule="auto" w:before="0" w:after="0"/>
        <w:ind w:left="720" w:hanging="720"/>
      </w:pPr>
      <w:r>
        <w:rPr>
          <w:rFonts w:ascii="Times New Roman" w:hAnsi="Times New Roman" w:eastAsia="Times New Roman"/>
          <w:sz w:val="24"/>
        </w:rPr>
        <w:t>Park, J. S., O'Brien, J. C., Cai, C. J., Morris, M. R., Liang, P., &amp; Bernstein, M. S. (2023). Generative agents: Interactive simulacra of human behavior. In Proceedings of the 36th Annual ACM Symposium on User Interface Software and Technology (Article 2, pp. 1–22). https://doi.org/10.1145/3586183.3606763</w:t>
      </w:r>
    </w:p>
    <w:p>
      <w:pPr>
        <w:spacing w:line="480" w:lineRule="auto" w:before="0" w:after="0"/>
        <w:ind w:left="720" w:hanging="720"/>
      </w:pPr>
      <w:r>
        <w:rPr>
          <w:rFonts w:ascii="Times New Roman" w:hAnsi="Times New Roman" w:eastAsia="Times New Roman"/>
          <w:sz w:val="24"/>
        </w:rPr>
        <w:t>Pearl, J. (2009). Causality: Models, reasoning, and inference (2nd ed.). Cambridge University Press.</w:t>
      </w:r>
    </w:p>
    <w:p>
      <w:pPr>
        <w:spacing w:line="480" w:lineRule="auto" w:before="0" w:after="0"/>
        <w:ind w:left="720" w:hanging="720"/>
      </w:pPr>
      <w:r>
        <w:rPr>
          <w:rFonts w:ascii="Times New Roman" w:hAnsi="Times New Roman" w:eastAsia="Times New Roman"/>
          <w:sz w:val="24"/>
        </w:rPr>
        <w:t>Pilch, I., &amp; Turska, E. (2015). Relationships between Machiavellianism, organizational culture, and workplace bullying: Emotional abuse from the target's and the perpetrator's perspective. Journal of Business Ethics, 128(1), 83–93. https://doi.org/10.1007/s10551-014-2081-3</w:t>
      </w:r>
    </w:p>
    <w:p>
      <w:pPr>
        <w:spacing w:line="480" w:lineRule="auto" w:before="0" w:after="0"/>
        <w:ind w:left="720" w:hanging="720"/>
      </w:pPr>
      <w:r>
        <w:rPr>
          <w:rFonts w:ascii="Times New Roman" w:hAnsi="Times New Roman" w:eastAsia="Times New Roman"/>
          <w:sz w:val="24"/>
        </w:rPr>
        <w:t>Podsakoff, P. M., MacKenzie, S. B., Lee, J. Y., &amp; Podsakoff, N. P. (2003). Common method biases in behavioral research: A critical review of the literature and recommended remedies. Journal of Applied Psychology, 88(5), 879–903. https://doi.org/10.1037/0021-9010.88.5.879</w:t>
      </w:r>
    </w:p>
    <w:p>
      <w:pPr>
        <w:spacing w:line="480" w:lineRule="auto" w:before="0" w:after="0"/>
        <w:ind w:left="720" w:hanging="720"/>
      </w:pPr>
      <w:r>
        <w:rPr>
          <w:rFonts w:ascii="Times New Roman" w:hAnsi="Times New Roman" w:eastAsia="Times New Roman"/>
          <w:sz w:val="24"/>
        </w:rPr>
        <w:t>Power, J. L., Brotheridge, C. M., Blenkinsopp, J., Bowes-Sperry, L., Bozionelos, N., Buzády, Z., Chuang, A., Drnevich, D., Garzon-Vico, A., Leighton, C., Madero, S. M., Mak, W., Mathew, R., Monserrat, S. I., Mujtaba, B. G., Olivas-Lujan, M. R., Polycroniou, P., Sprigg, C. A., Axtell, C., … Nnedum, A. U. O. (2013). Acceptability of workplace bullying: A comparative study on six continents. Journal of Business Research, 66(3), 374–380. https://doi.org/10.1016/j.jbusres.2011.08.018</w:t>
      </w:r>
    </w:p>
    <w:p>
      <w:pPr>
        <w:spacing w:line="480" w:lineRule="auto" w:before="0" w:after="0"/>
        <w:ind w:left="720" w:hanging="720"/>
      </w:pPr>
      <w:r>
        <w:rPr>
          <w:rFonts w:ascii="Times New Roman" w:hAnsi="Times New Roman" w:eastAsia="Times New Roman"/>
          <w:sz w:val="24"/>
        </w:rPr>
        <w:t>Roberts, B. W., Luo, J., Briley, D. A., Chow, P. I., Su, R., &amp; Hill, P. L. (2017). A systematic review of personality trait change through intervention. Psychological Bulletin, 143(2), 117–141. https://doi.org/10.1037/bul0000088</w:t>
      </w:r>
    </w:p>
    <w:p>
      <w:pPr>
        <w:spacing w:line="480" w:lineRule="auto" w:before="0" w:after="0"/>
        <w:ind w:left="720" w:hanging="720"/>
      </w:pPr>
      <w:r>
        <w:rPr>
          <w:rFonts w:ascii="Times New Roman" w:hAnsi="Times New Roman" w:eastAsia="Times New Roman"/>
          <w:sz w:val="24"/>
        </w:rPr>
        <w:t>Rutter, C. M., Zaslavsky, A. M., &amp; Feuer, E. J. (2011). Dynamic microsimulation models for health outcomes: A review. Medical Decision Making, 31(1), 10–18. https://doi.org/10.1177/0272989X10369005</w:t>
      </w:r>
    </w:p>
    <w:p>
      <w:pPr>
        <w:spacing w:line="480" w:lineRule="auto" w:before="0" w:after="0"/>
        <w:ind w:left="720" w:hanging="720"/>
      </w:pPr>
      <w:r>
        <w:rPr>
          <w:rFonts w:ascii="Times New Roman" w:hAnsi="Times New Roman" w:eastAsia="Times New Roman"/>
          <w:sz w:val="24"/>
        </w:rPr>
        <w:t>Salin, D. (2003). Ways of explaining workplace bullying: A review of enabling, motivating and precipitating structures and processes in the work environment. Human Relations, 56(10), 1213–1232. https://doi.org/10.1177/00187267035610003</w:t>
      </w:r>
    </w:p>
    <w:p>
      <w:pPr>
        <w:spacing w:line="480" w:lineRule="auto" w:before="0" w:after="0"/>
        <w:ind w:left="720" w:hanging="720"/>
      </w:pPr>
      <w:r>
        <w:rPr>
          <w:rFonts w:ascii="Times New Roman" w:hAnsi="Times New Roman" w:eastAsia="Times New Roman"/>
          <w:sz w:val="24"/>
        </w:rPr>
        <w:t>Salin, D. (2021). Workplace bullying and gender: An overview of empirical findings. In P. D'Cruz, E. Noronha, C. Caponecchia, J. Escartín, D. Salin, &amp; M. R. Tuckey (Eds.), Dignity and inclusion at work: Handbooks of workplace bullying, emotional abuse and harassment (Vol. 3, pp. 331–361). Springer. https://doi.org/10.1007/978-981-13-0218-3_12</w:t>
      </w:r>
    </w:p>
    <w:p>
      <w:pPr>
        <w:spacing w:line="480" w:lineRule="auto" w:before="0" w:after="0"/>
        <w:ind w:left="720" w:hanging="720"/>
      </w:pPr>
      <w:r>
        <w:rPr>
          <w:rFonts w:ascii="Times New Roman" w:hAnsi="Times New Roman" w:eastAsia="Times New Roman"/>
          <w:sz w:val="24"/>
        </w:rPr>
        <w:t>Schelling, T. C. (1971). Dynamic models of segregation. Journal of Mathematical Sociology, 1(2), 143–186. https://doi.org/10.1080/0022250X.1971.9989794</w:t>
      </w:r>
    </w:p>
    <w:p>
      <w:pPr>
        <w:spacing w:line="480" w:lineRule="auto" w:before="0" w:after="0"/>
        <w:ind w:left="720" w:hanging="720"/>
      </w:pPr>
      <w:r>
        <w:rPr>
          <w:rFonts w:ascii="Times New Roman" w:hAnsi="Times New Roman" w:eastAsia="Times New Roman"/>
          <w:sz w:val="24"/>
        </w:rPr>
        <w:t>Spielauer, M. (2011). What is social science microsimulation? Social Science Computer Review, 29(1), 9–20. https://doi.org/10.1177/0894439310370085</w:t>
      </w:r>
    </w:p>
    <w:p>
      <w:pPr>
        <w:spacing w:line="480" w:lineRule="auto" w:before="0" w:after="0"/>
        <w:ind w:left="720" w:hanging="720"/>
      </w:pPr>
      <w:r>
        <w:rPr>
          <w:rFonts w:ascii="Times New Roman" w:hAnsi="Times New Roman" w:eastAsia="Times New Roman"/>
          <w:sz w:val="24"/>
        </w:rPr>
        <w:t>Statistics Bureau, Ministry of Internal Affairs and Communications. (2023). Labour Force Survey (Basic Tabulation): 2022 Annual Average Results Summary [Original report in Japanese]. Tokyo: Statistics Bureau. Retrieved 2026-04-30 from https://www.e-stat.go.jp/</w:t>
      </w:r>
    </w:p>
    <w:p>
      <w:pPr>
        <w:spacing w:line="480" w:lineRule="auto" w:before="0" w:after="0"/>
        <w:ind w:left="720" w:hanging="720"/>
      </w:pPr>
      <w:r>
        <w:rPr>
          <w:rFonts w:ascii="Times New Roman" w:hAnsi="Times New Roman" w:eastAsia="Times New Roman"/>
          <w:sz w:val="24"/>
        </w:rPr>
        <w:t>Tokiwa, E. (2026). Cultural influences on personality types: A cluster analysis of HEXACO traits in Japan. IEEE Access. https://doi.org/10.1109/ACCESS.2026.3651324</w:t>
      </w:r>
    </w:p>
    <w:p>
      <w:pPr>
        <w:spacing w:line="480" w:lineRule="auto" w:before="0" w:after="0"/>
        <w:ind w:left="720" w:hanging="720"/>
      </w:pPr>
      <w:r>
        <w:rPr>
          <w:rFonts w:ascii="Times New Roman" w:hAnsi="Times New Roman" w:eastAsia="Times New Roman"/>
          <w:sz w:val="24"/>
        </w:rPr>
        <w:t>Tokiwa, E. (2025). Predicting power and gender harassment from HEXACO and Dark Traits (Version 1) [Preprint]. Research Square. https://doi.org/10.21203/rs.3.rs-7756124/v1</w:t>
      </w:r>
    </w:p>
    <w:p>
      <w:pPr>
        <w:spacing w:line="480" w:lineRule="auto" w:before="0" w:after="0"/>
        <w:ind w:left="720" w:hanging="720"/>
      </w:pPr>
      <w:r>
        <w:rPr>
          <w:rFonts w:ascii="Times New Roman" w:hAnsi="Times New Roman" w:eastAsia="Times New Roman"/>
          <w:sz w:val="24"/>
        </w:rPr>
        <w:t>Tou, K., Tsuda, A., Nii, M., Yamahiro, T., &amp; Irie, M. (2017). Development of new power harassment questionnaire in workplace. In Proceedings of the 81st Annual Convention of the Japanese Psychological Association. Japanese Psychological Association. [Conference paper; in Japanese]</w:t>
      </w:r>
    </w:p>
    <w:p>
      <w:pPr>
        <w:spacing w:line="480" w:lineRule="auto" w:before="0" w:after="0"/>
        <w:ind w:left="720" w:hanging="720"/>
      </w:pPr>
      <w:r>
        <w:rPr>
          <w:rFonts w:ascii="Times New Roman" w:hAnsi="Times New Roman" w:eastAsia="Times New Roman"/>
          <w:sz w:val="24"/>
        </w:rPr>
        <w:t>Wakabayashi, A. (2014). A sixth personality domain that is independent of the Big Five domains: The psychometric properties of the HEXACO Personality Inventory in a Japanese sample. Japanese Psychological Research, 56(3), 211–223. https://doi.org/10.1111/jpr.12045</w:t>
      </w:r>
    </w:p>
    <w:p>
      <w:pPr>
        <w:spacing w:line="480" w:lineRule="auto" w:before="0" w:after="0"/>
        <w:jc w:val="center"/>
      </w:pPr>
      <w:r>
        <w:rPr>
          <w:rFonts w:ascii="Times New Roman" w:hAnsi="Times New Roman" w:eastAsia="Times New Roman"/>
          <w:b/>
          <w:sz w:val="24"/>
        </w:rPr>
        <w:t>Reference notes</w:t>
      </w:r>
    </w:p>
    <w:p>
      <w:pPr>
        <w:spacing w:line="480" w:lineRule="auto" w:before="0" w:after="0"/>
        <w:ind w:left="720" w:hanging="720"/>
      </w:pPr>
      <w:r>
        <w:rPr>
          <w:rFonts w:ascii="Times New Roman" w:hAnsi="Times New Roman" w:eastAsia="Times New Roman"/>
          <w:sz w:val="24"/>
        </w:rPr>
        <w:t>1. Tokiwa (2026, IEEE Access) and Tokiwa (2025, Research Square preprint) are self-citations from the same author; their DOIs (10.1109/ACCESS.2026.3651324 and 10.21203/rs.3.rs-7756124/v1, respectively) are confirmed and resolvable as of submission. 2. MHLW survey series citations point to the Japanese government MHLW website; English-language summaries are available at the same URL with ?lang=en query parameter (verification recommended at submission time). 3. Kobayashi &amp; Tanaka (2010) and Tou et al. (2017) citations sourced from Tokiwa (2025) harassment preprint Manuscript_all.docx (verified 2026-04-30); the Tou et al. (2017) reference is a Japanese Psychological Association conference proceedings rather than a journal article. 4. Roberts et al. (2017) is the principal personality-change-intervention meta-analysis cited alongside Hudson and Fraley (2015) for the +0.3 SD upper-bound calibration of Counterfactual A.</w:t>
      </w:r>
    </w:p>
    <w:p>
      <w:r>
        <w:br w:type="page"/>
      </w:r>
    </w:p>
    <w:p>
      <w:pPr>
        <w:spacing w:line="480" w:lineRule="auto" w:before="0" w:after="0"/>
        <w:jc w:val="center"/>
      </w:pPr>
      <w:r>
        <w:rPr>
          <w:rFonts w:ascii="Times New Roman" w:hAnsi="Times New Roman" w:eastAsia="Times New Roman"/>
          <w:b/>
          <w:sz w:val="24"/>
        </w:rPr>
        <w:t>Tables</w:t>
      </w:r>
    </w:p>
    <w:p>
      <w:pPr>
        <w:spacing w:line="480" w:lineRule="auto" w:before="0" w:after="0"/>
        <w:jc w:val="left"/>
      </w:pPr>
      <w:r>
        <w:rPr>
          <w:rFonts w:ascii="Times New Roman" w:hAnsi="Times New Roman" w:eastAsia="Times New Roman"/>
          <w:b/>
          <w:sz w:val="24"/>
        </w:rPr>
        <w:t>Table 1. H1 Four-Tier Classification of Mean Absolute Percentage Error (MAPE) Across Three MHLW Validation Periods</w:t>
      </w:r>
    </w:p>
    <w:p>
      <w:pPr>
        <w:spacing w:line="480" w:lineRule="auto" w:before="0" w:after="0"/>
      </w:pPr>
      <w:r>
        <w:rPr>
          <w:rFonts w:ascii="Times New Roman" w:hAnsi="Times New Roman" w:eastAsia="Times New Roman"/>
          <w:i/>
          <w:sz w:val="24"/>
        </w:rPr>
        <w:t>Note</w:t>
      </w:r>
      <w:r>
        <w:rPr>
          <w:rFonts w:ascii="Times New Roman" w:hAnsi="Times New Roman" w:eastAsia="Times New Roman"/>
          <w:sz w:val="24"/>
        </w:rPr>
        <w:t>. Predicted values are computed via 14-cell HEXACO 7-typology × gender propensity weighted by Statistics Bureau (MIC) Labour Force Survey 2022 marginals. Bootstrap 95% CIs use B = 10,000 cell-stratified resamples per the pre-registered headline-bootstrap rule. Tier classification follows the pre-registered four-tier hierarchy.</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rFonts w:ascii="Times New Roman" w:hAnsi="Times New Roman" w:eastAsia="Times New Roman"/>
                <w:b/>
                <w:sz w:val="22"/>
              </w:rPr>
              <w:t>Period (MHLW)</w:t>
            </w:r>
          </w:p>
        </w:tc>
        <w:tc>
          <w:tcPr>
            <w:tcW w:type="dxa" w:w="1560"/>
          </w:tcPr>
          <w:p>
            <w:r>
              <w:rPr>
                <w:rFonts w:ascii="Times New Roman" w:hAnsi="Times New Roman" w:eastAsia="Times New Roman"/>
                <w:b/>
                <w:sz w:val="22"/>
              </w:rPr>
              <w:t>Observed</w:t>
            </w:r>
          </w:p>
        </w:tc>
        <w:tc>
          <w:tcPr>
            <w:tcW w:type="dxa" w:w="1560"/>
          </w:tcPr>
          <w:p>
            <w:r>
              <w:rPr>
                <w:rFonts w:ascii="Times New Roman" w:hAnsi="Times New Roman" w:eastAsia="Times New Roman"/>
                <w:b/>
                <w:sz w:val="22"/>
              </w:rPr>
              <w:t>Predicted</w:t>
            </w:r>
          </w:p>
        </w:tc>
        <w:tc>
          <w:tcPr>
            <w:tcW w:type="dxa" w:w="1560"/>
          </w:tcPr>
          <w:p>
            <w:r>
              <w:rPr>
                <w:rFonts w:ascii="Times New Roman" w:hAnsi="Times New Roman" w:eastAsia="Times New Roman"/>
                <w:b/>
                <w:sz w:val="22"/>
              </w:rPr>
              <w:t>MAPE</w:t>
            </w:r>
          </w:p>
        </w:tc>
        <w:tc>
          <w:tcPr>
            <w:tcW w:type="dxa" w:w="1560"/>
          </w:tcPr>
          <w:p>
            <w:r>
              <w:rPr>
                <w:rFonts w:ascii="Times New Roman" w:hAnsi="Times New Roman" w:eastAsia="Times New Roman"/>
                <w:b/>
                <w:sz w:val="22"/>
              </w:rPr>
              <w:t>95% CI</w:t>
            </w:r>
          </w:p>
        </w:tc>
        <w:tc>
          <w:tcPr>
            <w:tcW w:type="dxa" w:w="1560"/>
          </w:tcPr>
          <w:p>
            <w:r>
              <w:rPr>
                <w:rFonts w:ascii="Times New Roman" w:hAnsi="Times New Roman" w:eastAsia="Times New Roman"/>
                <w:b/>
                <w:sz w:val="22"/>
              </w:rPr>
              <w:t>Tier</w:t>
            </w:r>
          </w:p>
        </w:tc>
      </w:tr>
      <w:tr>
        <w:tc>
          <w:tcPr>
            <w:tcW w:type="dxa" w:w="1560"/>
          </w:tcPr>
          <w:p>
            <w:r>
              <w:rPr>
                <w:rFonts w:ascii="Times New Roman" w:hAnsi="Times New Roman" w:eastAsia="Times New Roman"/>
                <w:b w:val="0"/>
                <w:sz w:val="22"/>
              </w:rPr>
              <w:t>FY2016 (32.5%, primary)</w:t>
            </w:r>
          </w:p>
        </w:tc>
        <w:tc>
          <w:tcPr>
            <w:tcW w:type="dxa" w:w="1560"/>
          </w:tcPr>
          <w:p>
            <w:r>
              <w:rPr>
                <w:rFonts w:ascii="Times New Roman" w:hAnsi="Times New Roman" w:eastAsia="Times New Roman"/>
                <w:b w:val="0"/>
                <w:sz w:val="22"/>
              </w:rPr>
              <w:t>0.325</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46.34%</w:t>
            </w:r>
          </w:p>
        </w:tc>
        <w:tc>
          <w:tcPr>
            <w:tcW w:type="dxa" w:w="1560"/>
          </w:tcPr>
          <w:p>
            <w:r>
              <w:rPr>
                <w:rFonts w:ascii="Times New Roman" w:hAnsi="Times New Roman" w:eastAsia="Times New Roman"/>
                <w:b w:val="0"/>
                <w:sz w:val="22"/>
              </w:rPr>
              <w:t>[32.36, 59.30]</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FY2020 (31.4%, secondary)</w:t>
            </w:r>
          </w:p>
        </w:tc>
        <w:tc>
          <w:tcPr>
            <w:tcW w:type="dxa" w:w="1560"/>
          </w:tcPr>
          <w:p>
            <w:r>
              <w:rPr>
                <w:rFonts w:ascii="Times New Roman" w:hAnsi="Times New Roman" w:eastAsia="Times New Roman"/>
                <w:b w:val="0"/>
                <w:sz w:val="22"/>
              </w:rPr>
              <w:t>0.314</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44.46%</w:t>
            </w:r>
          </w:p>
        </w:tc>
        <w:tc>
          <w:tcPr>
            <w:tcW w:type="dxa" w:w="1560"/>
          </w:tcPr>
          <w:p>
            <w:r>
              <w:rPr>
                <w:rFonts w:ascii="Times New Roman" w:hAnsi="Times New Roman" w:eastAsia="Times New Roman"/>
                <w:b w:val="0"/>
                <w:sz w:val="22"/>
              </w:rPr>
              <w:t>[30.00, 57.88]</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FY2023 (19.3%, secondary)</w:t>
            </w:r>
          </w:p>
        </w:tc>
        <w:tc>
          <w:tcPr>
            <w:tcW w:type="dxa" w:w="1560"/>
          </w:tcPr>
          <w:p>
            <w:r>
              <w:rPr>
                <w:rFonts w:ascii="Times New Roman" w:hAnsi="Times New Roman" w:eastAsia="Times New Roman"/>
                <w:b w:val="0"/>
                <w:sz w:val="22"/>
              </w:rPr>
              <w:t>0.193</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9.65%</w:t>
            </w:r>
          </w:p>
        </w:tc>
        <w:tc>
          <w:tcPr>
            <w:tcW w:type="dxa" w:w="1560"/>
          </w:tcPr>
          <w:p>
            <w:r>
              <w:rPr>
                <w:rFonts w:ascii="Times New Roman" w:hAnsi="Times New Roman" w:eastAsia="Times New Roman"/>
                <w:b w:val="0"/>
                <w:sz w:val="22"/>
              </w:rPr>
              <w:t>[0.52, 31.52]</w:t>
            </w:r>
          </w:p>
        </w:tc>
        <w:tc>
          <w:tcPr>
            <w:tcW w:type="dxa" w:w="1560"/>
          </w:tcPr>
          <w:p>
            <w:r>
              <w:rPr>
                <w:rFonts w:ascii="Times New Roman" w:hAnsi="Times New Roman" w:eastAsia="Times New Roman"/>
                <w:b w:val="0"/>
                <w:sz w:val="22"/>
              </w:rPr>
              <w:t>Standard SUCCESS</w:t>
            </w:r>
          </w:p>
        </w:tc>
      </w:tr>
    </w:tbl>
    <w:p>
      <w:pPr>
        <w:spacing w:line="480" w:lineRule="auto" w:before="0" w:after="0"/>
      </w:pPr>
    </w:p>
    <w:p>
      <w:pPr>
        <w:spacing w:line="480" w:lineRule="auto" w:before="0" w:after="0"/>
        <w:jc w:val="left"/>
      </w:pPr>
      <w:r>
        <w:rPr>
          <w:rFonts w:ascii="Times New Roman" w:hAnsi="Times New Roman" w:eastAsia="Times New Roman"/>
          <w:b/>
          <w:sz w:val="24"/>
        </w:rPr>
        <w:t>Table 2. One-at-a-Time (OAT) Sensitivity Sweep Around the Locked v2.0 Main Configuration</w:t>
      </w:r>
    </w:p>
    <w:p>
      <w:pPr>
        <w:spacing w:line="480" w:lineRule="auto" w:before="0" w:after="0"/>
      </w:pPr>
      <w:r>
        <w:rPr>
          <w:rFonts w:ascii="Times New Roman" w:hAnsi="Times New Roman" w:eastAsia="Times New Roman"/>
          <w:i/>
          <w:sz w:val="24"/>
        </w:rPr>
        <w:t>Note</w:t>
      </w:r>
      <w:r>
        <w:rPr>
          <w:rFonts w:ascii="Times New Roman" w:hAnsi="Times New Roman" w:eastAsia="Times New Roman"/>
          <w:sz w:val="24"/>
        </w:rPr>
        <w:t>. Each row varies the indicated parameter family while holding remaining parameters at the v2.0 main configuration. B = 2,000 percentile CIs reported on FY2016 MAPE.</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Family</w:t>
            </w:r>
          </w:p>
        </w:tc>
        <w:tc>
          <w:tcPr>
            <w:tcW w:type="dxa" w:w="1872"/>
          </w:tcPr>
          <w:p>
            <w:r>
              <w:rPr>
                <w:rFonts w:ascii="Times New Roman" w:hAnsi="Times New Roman" w:eastAsia="Times New Roman"/>
                <w:b/>
                <w:sz w:val="22"/>
              </w:rPr>
              <w:t>Value</w:t>
            </w:r>
          </w:p>
        </w:tc>
        <w:tc>
          <w:tcPr>
            <w:tcW w:type="dxa" w:w="1872"/>
          </w:tcPr>
          <w:p>
            <w:r>
              <w:rPr>
                <w:rFonts w:ascii="Times New Roman" w:hAnsi="Times New Roman" w:eastAsia="Times New Roman"/>
                <w:b/>
                <w:sz w:val="22"/>
              </w:rPr>
              <w:t>MAPE</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Tier</w:t>
            </w:r>
          </w:p>
        </w:tc>
      </w:tr>
      <w:tr>
        <w:tc>
          <w:tcPr>
            <w:tcW w:type="dxa" w:w="1872"/>
          </w:tcPr>
          <w:p>
            <w:r>
              <w:rPr>
                <w:rFonts w:ascii="Times New Roman" w:hAnsi="Times New Roman" w:eastAsia="Times New Roman"/>
                <w:b w:val="0"/>
                <w:sz w:val="22"/>
              </w:rPr>
              <w:t>Baseline</w:t>
            </w:r>
          </w:p>
        </w:tc>
        <w:tc>
          <w:tcPr>
            <w:tcW w:type="dxa" w:w="1872"/>
          </w:tcPr>
          <w:p>
            <w:r>
              <w:rPr>
                <w:rFonts w:ascii="Times New Roman" w:hAnsi="Times New Roman" w:eastAsia="Times New Roman"/>
                <w:b w:val="0"/>
                <w:sz w:val="22"/>
              </w:rPr>
              <w:t>main_v2.0</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[31.5, 59.5]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 threshold</w:t>
            </w:r>
          </w:p>
        </w:tc>
        <w:tc>
          <w:tcPr>
            <w:tcW w:type="dxa" w:w="1872"/>
          </w:tcPr>
          <w:p>
            <w:r>
              <w:rPr>
                <w:rFonts w:ascii="Times New Roman" w:hAnsi="Times New Roman" w:eastAsia="Times New Roman"/>
                <w:b w:val="0"/>
                <w:sz w:val="22"/>
              </w:rPr>
              <w:t>mean+0.25 SD</w:t>
            </w:r>
          </w:p>
        </w:tc>
        <w:tc>
          <w:tcPr>
            <w:tcW w:type="dxa" w:w="1872"/>
          </w:tcPr>
          <w:p>
            <w:r>
              <w:rPr>
                <w:rFonts w:ascii="Times New Roman" w:hAnsi="Times New Roman" w:eastAsia="Times New Roman"/>
                <w:b w:val="0"/>
                <w:sz w:val="22"/>
              </w:rPr>
              <w:t>29.58%</w:t>
            </w:r>
          </w:p>
        </w:tc>
        <w:tc>
          <w:tcPr>
            <w:tcW w:type="dxa" w:w="1872"/>
          </w:tcPr>
          <w:p>
            <w:r>
              <w:rPr>
                <w:rFonts w:ascii="Times New Roman" w:hAnsi="Times New Roman" w:eastAsia="Times New Roman"/>
                <w:b w:val="0"/>
                <w:sz w:val="22"/>
              </w:rPr>
              <w:t>[13.7, 45.2]</w:t>
            </w:r>
          </w:p>
        </w:tc>
        <w:tc>
          <w:tcPr>
            <w:tcW w:type="dxa" w:w="1872"/>
          </w:tcPr>
          <w:p>
            <w:r>
              <w:rPr>
                <w:rFonts w:ascii="Times New Roman" w:hAnsi="Times New Roman" w:eastAsia="Times New Roman"/>
                <w:b w:val="0"/>
                <w:sz w:val="22"/>
              </w:rPr>
              <w:t>Standard SUCCESS</w:t>
            </w:r>
          </w:p>
        </w:tc>
      </w:tr>
      <w:tr>
        <w:tc>
          <w:tcPr>
            <w:tcW w:type="dxa" w:w="1872"/>
          </w:tcPr>
          <w:p>
            <w:r>
              <w:rPr>
                <w:rFonts w:ascii="Times New Roman" w:hAnsi="Times New Roman" w:eastAsia="Times New Roman"/>
                <w:b w:val="0"/>
                <w:sz w:val="22"/>
              </w:rPr>
              <w:t>Binarization threshold</w:t>
            </w:r>
          </w:p>
        </w:tc>
        <w:tc>
          <w:tcPr>
            <w:tcW w:type="dxa" w:w="1872"/>
          </w:tcPr>
          <w:p>
            <w:r>
              <w:rPr>
                <w:rFonts w:ascii="Times New Roman" w:hAnsi="Times New Roman" w:eastAsia="Times New Roman"/>
                <w:b w:val="0"/>
                <w:sz w:val="22"/>
              </w:rPr>
              <w:t>mean+0.5 SD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[30.5,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 threshold</w:t>
            </w:r>
          </w:p>
        </w:tc>
        <w:tc>
          <w:tcPr>
            <w:tcW w:type="dxa" w:w="1872"/>
          </w:tcPr>
          <w:p>
            <w:r>
              <w:rPr>
                <w:rFonts w:ascii="Times New Roman" w:hAnsi="Times New Roman" w:eastAsia="Times New Roman"/>
                <w:b w:val="0"/>
                <w:sz w:val="22"/>
              </w:rPr>
              <w:t>mean+1.0 SD</w:t>
            </w:r>
          </w:p>
        </w:tc>
        <w:tc>
          <w:tcPr>
            <w:tcW w:type="dxa" w:w="1872"/>
          </w:tcPr>
          <w:p>
            <w:r>
              <w:rPr>
                <w:rFonts w:ascii="Times New Roman" w:hAnsi="Times New Roman" w:eastAsia="Times New Roman"/>
                <w:b w:val="0"/>
                <w:sz w:val="22"/>
              </w:rPr>
              <w:t>48.95%</w:t>
            </w:r>
          </w:p>
        </w:tc>
        <w:tc>
          <w:tcPr>
            <w:tcW w:type="dxa" w:w="1872"/>
          </w:tcPr>
          <w:p>
            <w:r>
              <w:rPr>
                <w:rFonts w:ascii="Times New Roman" w:hAnsi="Times New Roman" w:eastAsia="Times New Roman"/>
                <w:b w:val="0"/>
                <w:sz w:val="22"/>
              </w:rPr>
              <w:t>[34.0, 62.4]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Soft-assignment τ × median NN</w:t>
            </w:r>
          </w:p>
        </w:tc>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45.04%</w:t>
            </w:r>
          </w:p>
        </w:tc>
        <w:tc>
          <w:tcPr>
            <w:tcW w:type="dxa" w:w="1872"/>
          </w:tcPr>
          <w:p>
            <w:r>
              <w:rPr>
                <w:rFonts w:ascii="Times New Roman" w:hAnsi="Times New Roman" w:eastAsia="Times New Roman"/>
                <w:b w:val="0"/>
                <w:sz w:val="22"/>
              </w:rPr>
              <w:t>[43.8, 46.3]</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Soft-assignment τ × median NN</w:t>
            </w:r>
          </w:p>
        </w:tc>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45.22%</w:t>
            </w:r>
          </w:p>
        </w:tc>
        <w:tc>
          <w:tcPr>
            <w:tcW w:type="dxa" w:w="1872"/>
          </w:tcPr>
          <w:p>
            <w:r>
              <w:rPr>
                <w:rFonts w:ascii="Times New Roman" w:hAnsi="Times New Roman" w:eastAsia="Times New Roman"/>
                <w:b w:val="0"/>
                <w:sz w:val="22"/>
              </w:rPr>
              <w:t>[43.9, 46.5]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Soft-assignment τ × median NN</w:t>
            </w:r>
          </w:p>
        </w:tc>
        <w:tc>
          <w:tcPr>
            <w:tcW w:type="dxa" w:w="1872"/>
          </w:tcPr>
          <w:p>
            <w:r>
              <w:rPr>
                <w:rFonts w:ascii="Times New Roman" w:hAnsi="Times New Roman" w:eastAsia="Times New Roman"/>
                <w:b w:val="0"/>
                <w:sz w:val="22"/>
              </w:rPr>
              <w:t>2.0×</w:t>
            </w:r>
          </w:p>
        </w:tc>
        <w:tc>
          <w:tcPr>
            <w:tcW w:type="dxa" w:w="1872"/>
          </w:tcPr>
          <w:p>
            <w:r>
              <w:rPr>
                <w:rFonts w:ascii="Times New Roman" w:hAnsi="Times New Roman" w:eastAsia="Times New Roman"/>
                <w:b w:val="0"/>
                <w:sz w:val="22"/>
              </w:rPr>
              <w:t>45.24%</w:t>
            </w:r>
          </w:p>
        </w:tc>
        <w:tc>
          <w:tcPr>
            <w:tcW w:type="dxa" w:w="1872"/>
          </w:tcPr>
          <w:p>
            <w:r>
              <w:rPr>
                <w:rFonts w:ascii="Times New Roman" w:hAnsi="Times New Roman" w:eastAsia="Times New Roman"/>
                <w:b w:val="0"/>
                <w:sz w:val="22"/>
              </w:rPr>
              <w:t>[43.9, 46.4]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shrinkage scale</w:t>
            </w:r>
          </w:p>
        </w:tc>
        <w:tc>
          <w:tcPr>
            <w:tcW w:type="dxa" w:w="1872"/>
          </w:tcPr>
          <w:p>
            <w:r>
              <w:rPr>
                <w:rFonts w:ascii="Times New Roman" w:hAnsi="Times New Roman" w:eastAsia="Times New Roman"/>
                <w:b w:val="0"/>
                <w:sz w:val="22"/>
              </w:rPr>
              <w:t>0.5× pseudocount</w:t>
            </w:r>
          </w:p>
        </w:tc>
        <w:tc>
          <w:tcPr>
            <w:tcW w:type="dxa" w:w="1872"/>
          </w:tcPr>
          <w:p>
            <w:r>
              <w:rPr>
                <w:rFonts w:ascii="Times New Roman" w:hAnsi="Times New Roman" w:eastAsia="Times New Roman"/>
                <w:b w:val="0"/>
                <w:sz w:val="22"/>
              </w:rPr>
              <w:t>45.90%</w:t>
            </w:r>
          </w:p>
        </w:tc>
        <w:tc>
          <w:tcPr>
            <w:tcW w:type="dxa" w:w="1872"/>
          </w:tcPr>
          <w:p>
            <w:r>
              <w:rPr>
                <w:rFonts w:ascii="Times New Roman" w:hAnsi="Times New Roman" w:eastAsia="Times New Roman"/>
                <w:b w:val="0"/>
                <w:sz w:val="22"/>
              </w:rPr>
              <w:t>[32.1, 58.7]</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shrinkage scale</w:t>
            </w:r>
          </w:p>
        </w:tc>
        <w:tc>
          <w:tcPr>
            <w:tcW w:type="dxa" w:w="1872"/>
          </w:tcPr>
          <w:p>
            <w:r>
              <w:rPr>
                <w:rFonts w:ascii="Times New Roman" w:hAnsi="Times New Roman" w:eastAsia="Times New Roman"/>
                <w:b w:val="0"/>
                <w:sz w:val="22"/>
              </w:rPr>
              <w:t>1.0×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59.0]</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shrinkage scale</w:t>
            </w:r>
          </w:p>
        </w:tc>
        <w:tc>
          <w:tcPr>
            <w:tcW w:type="dxa" w:w="1872"/>
          </w:tcPr>
          <w:p>
            <w:r>
              <w:rPr>
                <w:rFonts w:ascii="Times New Roman" w:hAnsi="Times New Roman" w:eastAsia="Times New Roman"/>
                <w:b w:val="0"/>
                <w:sz w:val="22"/>
              </w:rPr>
              <w:t>2.0× pseudocount</w:t>
            </w:r>
          </w:p>
        </w:tc>
        <w:tc>
          <w:tcPr>
            <w:tcW w:type="dxa" w:w="1872"/>
          </w:tcPr>
          <w:p>
            <w:r>
              <w:rPr>
                <w:rFonts w:ascii="Times New Roman" w:hAnsi="Times New Roman" w:eastAsia="Times New Roman"/>
                <w:b w:val="0"/>
                <w:sz w:val="22"/>
              </w:rPr>
              <w:t>45.80%</w:t>
            </w:r>
          </w:p>
        </w:tc>
        <w:tc>
          <w:tcPr>
            <w:tcW w:type="dxa" w:w="1872"/>
          </w:tcPr>
          <w:p>
            <w:r>
              <w:rPr>
                <w:rFonts w:ascii="Times New Roman" w:hAnsi="Times New Roman" w:eastAsia="Times New Roman"/>
                <w:b w:val="0"/>
                <w:sz w:val="22"/>
              </w:rPr>
              <w:t>[32.3, 58.9]</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56.47%</w:t>
            </w:r>
          </w:p>
        </w:tc>
        <w:tc>
          <w:tcPr>
            <w:tcW w:type="dxa" w:w="1872"/>
          </w:tcPr>
          <w:p>
            <w:r>
              <w:rPr>
                <w:rFonts w:ascii="Times New Roman" w:hAnsi="Times New Roman" w:eastAsia="Times New Roman"/>
                <w:b w:val="0"/>
                <w:sz w:val="22"/>
              </w:rPr>
              <w:t>[42.8, 68.8]</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34.55%</w:t>
            </w:r>
          </w:p>
        </w:tc>
        <w:tc>
          <w:tcPr>
            <w:tcW w:type="dxa" w:w="1872"/>
          </w:tcPr>
          <w:p>
            <w:r>
              <w:rPr>
                <w:rFonts w:ascii="Times New Roman" w:hAnsi="Times New Roman" w:eastAsia="Times New Roman"/>
                <w:b w:val="0"/>
                <w:sz w:val="22"/>
              </w:rPr>
              <w:t>[16.6, 51.8]</w:t>
            </w:r>
          </w:p>
        </w:tc>
        <w:tc>
          <w:tcPr>
            <w:tcW w:type="dxa" w:w="1872"/>
          </w:tcPr>
          <w:p>
            <w:r>
              <w:rPr>
                <w:rFonts w:ascii="Times New Roman" w:hAnsi="Times New Roman" w:eastAsia="Times New Roman"/>
                <w:b w:val="0"/>
                <w:sz w:val="22"/>
              </w:rPr>
              <w:t>PARTIAL</w:t>
            </w:r>
          </w:p>
        </w:tc>
      </w:tr>
    </w:tbl>
    <w:p>
      <w:pPr>
        <w:spacing w:line="480" w:lineRule="auto" w:before="0" w:after="0"/>
      </w:pPr>
    </w:p>
    <w:p>
      <w:pPr>
        <w:spacing w:line="480" w:lineRule="auto" w:before="0" w:after="0"/>
        <w:jc w:val="left"/>
      </w:pPr>
      <w:r>
        <w:rPr>
          <w:rFonts w:ascii="Times New Roman" w:hAnsi="Times New Roman" w:eastAsia="Times New Roman"/>
          <w:b/>
          <w:sz w:val="24"/>
        </w:rPr>
        <w:t>Table 3. Baseline Comparison for H2 Ordinal Trend Hypothesis</w:t>
      </w:r>
    </w:p>
    <w:p>
      <w:pPr>
        <w:spacing w:line="480" w:lineRule="auto" w:before="0" w:after="0"/>
      </w:pPr>
      <w:r>
        <w:rPr>
          <w:rFonts w:ascii="Times New Roman" w:hAnsi="Times New Roman" w:eastAsia="Times New Roman"/>
          <w:i/>
          <w:sz w:val="24"/>
        </w:rPr>
        <w:t>Note</w:t>
      </w:r>
      <w:r>
        <w:rPr>
          <w:rFonts w:ascii="Times New Roman" w:hAnsi="Times New Roman" w:eastAsia="Times New Roman"/>
          <w:sz w:val="24"/>
        </w:rPr>
        <w:t xml:space="preserve">. B0 trivially attains MAPE = 0 by construction (its prediction equals MHLW grand mean). H2 was tested via Bonferroni-Holm-corrected pairwise inequalities at one-sided α = 0.05 and Page's L (1963) ordinal trend test as auxiliary. </w:t>
      </w:r>
      <w:r>
        <w:rPr>
          <w:rFonts w:ascii="Times New Roman" w:hAnsi="Times New Roman" w:eastAsia="Times New Roman"/>
          <w:b/>
          <w:sz w:val="24"/>
        </w:rPr>
        <w:t>0 of 4 pairs were confirmed</w:t>
      </w:r>
      <w:r>
        <w:rPr>
          <w:rFonts w:ascii="Times New Roman" w:hAnsi="Times New Roman" w:eastAsia="Times New Roman"/>
          <w:sz w:val="24"/>
        </w:rPr>
        <w:t xml:space="preserve">; Page's L statistic </w:t>
      </w:r>
      <w:r>
        <w:rPr>
          <w:rFonts w:ascii="Times New Roman" w:hAnsi="Times New Roman" w:eastAsia="Times New Roman"/>
          <w:i/>
          <w:sz w:val="24"/>
        </w:rPr>
        <w:t>p</w:t>
      </w:r>
      <w:r>
        <w:rPr>
          <w:rFonts w:ascii="Times New Roman" w:hAnsi="Times New Roman" w:eastAsia="Times New Roman"/>
          <w:sz w:val="24"/>
        </w:rPr>
        <w:t xml:space="preserve"> = 0.9757. H2 decision: ambiguous_or_reversed. Baselines B0, B1, and B3 are deterministic functions of the realized cell counts under the cell-stratified bootstrap (their aggregation rules are closed-form given the cell partitions) and therefore yield zero-width bootstrap CIs by construction; B2 and B4 re-fit logistic-regression coefficients within each bootstrap replicate and accordingly show non-degenerate CIs.</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Baseline</w:t>
            </w:r>
          </w:p>
        </w:tc>
        <w:tc>
          <w:tcPr>
            <w:tcW w:type="dxa" w:w="2340"/>
          </w:tcPr>
          <w:p>
            <w:r>
              <w:rPr>
                <w:rFonts w:ascii="Times New Roman" w:hAnsi="Times New Roman" w:eastAsia="Times New Roman"/>
                <w:b/>
                <w:sz w:val="22"/>
              </w:rPr>
              <w:t>Description</w:t>
            </w:r>
          </w:p>
        </w:tc>
        <w:tc>
          <w:tcPr>
            <w:tcW w:type="dxa" w:w="2340"/>
          </w:tcPr>
          <w:p>
            <w:r>
              <w:rPr>
                <w:rFonts w:ascii="Times New Roman" w:hAnsi="Times New Roman" w:eastAsia="Times New Roman"/>
                <w:b/>
                <w:sz w:val="22"/>
              </w:rPr>
              <w:t>MAPE</w:t>
            </w:r>
          </w:p>
        </w:tc>
        <w:tc>
          <w:tcPr>
            <w:tcW w:type="dxa" w:w="2340"/>
          </w:tcPr>
          <w:p>
            <w:r>
              <w:rPr>
                <w:rFonts w:ascii="Times New Roman" w:hAnsi="Times New Roman" w:eastAsia="Times New Roman"/>
                <w:b/>
                <w:sz w:val="22"/>
              </w:rPr>
              <w:t>95% CI</w:t>
            </w:r>
          </w:p>
        </w:tc>
      </w:tr>
      <w:tr>
        <w:tc>
          <w:tcPr>
            <w:tcW w:type="dxa" w:w="2340"/>
          </w:tcPr>
          <w:p>
            <w:r>
              <w:rPr>
                <w:rFonts w:ascii="Times New Roman" w:hAnsi="Times New Roman" w:eastAsia="Times New Roman"/>
                <w:b w:val="0"/>
                <w:sz w:val="22"/>
              </w:rPr>
              <w:t>B0</w:t>
            </w:r>
          </w:p>
        </w:tc>
        <w:tc>
          <w:tcPr>
            <w:tcW w:type="dxa" w:w="2340"/>
          </w:tcPr>
          <w:p>
            <w:r>
              <w:rPr>
                <w:rFonts w:ascii="Times New Roman" w:hAnsi="Times New Roman" w:eastAsia="Times New Roman"/>
                <w:b w:val="0"/>
                <w:sz w:val="22"/>
              </w:rPr>
              <w:t>Uniform = MHLW grand mean</w:t>
            </w:r>
          </w:p>
        </w:tc>
        <w:tc>
          <w:tcPr>
            <w:tcW w:type="dxa" w:w="2340"/>
          </w:tcPr>
          <w:p>
            <w:r>
              <w:rPr>
                <w:rFonts w:ascii="Times New Roman" w:hAnsi="Times New Roman" w:eastAsia="Times New Roman"/>
                <w:b w:val="0"/>
                <w:sz w:val="22"/>
              </w:rPr>
              <w:t>0.00%</w:t>
            </w:r>
          </w:p>
        </w:tc>
        <w:tc>
          <w:tcPr>
            <w:tcW w:type="dxa" w:w="2340"/>
          </w:tcPr>
          <w:p>
            <w:r>
              <w:rPr>
                <w:rFonts w:ascii="Times New Roman" w:hAnsi="Times New Roman" w:eastAsia="Times New Roman"/>
                <w:b w:val="0"/>
                <w:sz w:val="22"/>
              </w:rPr>
              <w:t>[0.00, 0.00] (deterministic)</w:t>
            </w:r>
          </w:p>
        </w:tc>
      </w:tr>
      <w:tr>
        <w:tc>
          <w:tcPr>
            <w:tcW w:type="dxa" w:w="2340"/>
          </w:tcPr>
          <w:p>
            <w:r>
              <w:rPr>
                <w:rFonts w:ascii="Times New Roman" w:hAnsi="Times New Roman" w:eastAsia="Times New Roman"/>
                <w:b w:val="0"/>
                <w:sz w:val="22"/>
              </w:rPr>
              <w:t>B1</w:t>
            </w:r>
          </w:p>
        </w:tc>
        <w:tc>
          <w:tcPr>
            <w:tcW w:type="dxa" w:w="2340"/>
          </w:tcPr>
          <w:p>
            <w:r>
              <w:rPr>
                <w:rFonts w:ascii="Times New Roman" w:hAnsi="Times New Roman" w:eastAsia="Times New Roman"/>
                <w:b w:val="0"/>
                <w:sz w:val="22"/>
              </w:rPr>
              <w:t>Gender-only logistic</w:t>
            </w:r>
          </w:p>
        </w:tc>
        <w:tc>
          <w:tcPr>
            <w:tcW w:type="dxa" w:w="2340"/>
          </w:tcPr>
          <w:p>
            <w:r>
              <w:rPr>
                <w:rFonts w:ascii="Times New Roman" w:hAnsi="Times New Roman" w:eastAsia="Times New Roman"/>
                <w:b w:val="0"/>
                <w:sz w:val="22"/>
              </w:rPr>
              <w:t>46.02%</w:t>
            </w:r>
          </w:p>
        </w:tc>
        <w:tc>
          <w:tcPr>
            <w:tcW w:type="dxa" w:w="2340"/>
          </w:tcPr>
          <w:p>
            <w:r>
              <w:rPr>
                <w:rFonts w:ascii="Times New Roman" w:hAnsi="Times New Roman" w:eastAsia="Times New Roman"/>
                <w:b w:val="0"/>
                <w:sz w:val="22"/>
              </w:rPr>
              <w:t>[46.02, 46.02] (deterministic)</w:t>
            </w:r>
          </w:p>
        </w:tc>
      </w:tr>
      <w:tr>
        <w:tc>
          <w:tcPr>
            <w:tcW w:type="dxa" w:w="2340"/>
          </w:tcPr>
          <w:p>
            <w:r>
              <w:rPr>
                <w:rFonts w:ascii="Times New Roman" w:hAnsi="Times New Roman" w:eastAsia="Times New Roman"/>
                <w:b w:val="0"/>
                <w:sz w:val="22"/>
              </w:rPr>
              <w:t>B2</w:t>
            </w:r>
          </w:p>
        </w:tc>
        <w:tc>
          <w:tcPr>
            <w:tcW w:type="dxa" w:w="2340"/>
          </w:tcPr>
          <w:p>
            <w:r>
              <w:rPr>
                <w:rFonts w:ascii="Times New Roman" w:hAnsi="Times New Roman" w:eastAsia="Times New Roman"/>
                <w:b w:val="0"/>
                <w:sz w:val="22"/>
              </w:rPr>
              <w:t>HEXACO 6-domain logistic</w:t>
            </w:r>
          </w:p>
        </w:tc>
        <w:tc>
          <w:tcPr>
            <w:tcW w:type="dxa" w:w="2340"/>
          </w:tcPr>
          <w:p>
            <w:r>
              <w:rPr>
                <w:rFonts w:ascii="Times New Roman" w:hAnsi="Times New Roman" w:eastAsia="Times New Roman"/>
                <w:b w:val="0"/>
                <w:sz w:val="22"/>
              </w:rPr>
              <w:t>43.98%</w:t>
            </w:r>
          </w:p>
        </w:tc>
        <w:tc>
          <w:tcPr>
            <w:tcW w:type="dxa" w:w="2340"/>
          </w:tcPr>
          <w:p>
            <w:r>
              <w:rPr>
                <w:rFonts w:ascii="Times New Roman" w:hAnsi="Times New Roman" w:eastAsia="Times New Roman"/>
                <w:b w:val="0"/>
                <w:sz w:val="22"/>
              </w:rPr>
              <w:t>[40.33, 47.35]</w:t>
            </w:r>
          </w:p>
        </w:tc>
      </w:tr>
      <w:tr>
        <w:tc>
          <w:tcPr>
            <w:tcW w:type="dxa" w:w="2340"/>
          </w:tcPr>
          <w:p>
            <w:r>
              <w:rPr>
                <w:rFonts w:ascii="Times New Roman" w:hAnsi="Times New Roman" w:eastAsia="Times New Roman"/>
                <w:b w:val="0"/>
                <w:sz w:val="22"/>
              </w:rPr>
              <w:t>B3</w:t>
            </w:r>
          </w:p>
        </w:tc>
        <w:tc>
          <w:tcPr>
            <w:tcW w:type="dxa" w:w="2340"/>
          </w:tcPr>
          <w:p>
            <w:r>
              <w:rPr>
                <w:rFonts w:ascii="Times New Roman" w:hAnsi="Times New Roman" w:eastAsia="Times New Roman"/>
                <w:b w:val="0"/>
                <w:sz w:val="22"/>
              </w:rPr>
              <w:t>14-cell conditional (main pipeline)</w:t>
            </w:r>
          </w:p>
        </w:tc>
        <w:tc>
          <w:tcPr>
            <w:tcW w:type="dxa" w:w="2340"/>
          </w:tcPr>
          <w:p>
            <w:r>
              <w:rPr>
                <w:rFonts w:ascii="Times New Roman" w:hAnsi="Times New Roman" w:eastAsia="Times New Roman"/>
                <w:b w:val="0"/>
                <w:sz w:val="22"/>
              </w:rPr>
              <w:t>46.34%</w:t>
            </w:r>
          </w:p>
        </w:tc>
        <w:tc>
          <w:tcPr>
            <w:tcW w:type="dxa" w:w="2340"/>
          </w:tcPr>
          <w:p>
            <w:r>
              <w:rPr>
                <w:rFonts w:ascii="Times New Roman" w:hAnsi="Times New Roman" w:eastAsia="Times New Roman"/>
                <w:b w:val="0"/>
                <w:sz w:val="22"/>
              </w:rPr>
              <w:t>[46.34, 46.34] (deterministic)</w:t>
            </w:r>
          </w:p>
        </w:tc>
      </w:tr>
      <w:tr>
        <w:tc>
          <w:tcPr>
            <w:tcW w:type="dxa" w:w="2340"/>
          </w:tcPr>
          <w:p>
            <w:r>
              <w:rPr>
                <w:rFonts w:ascii="Times New Roman" w:hAnsi="Times New Roman" w:eastAsia="Times New Roman"/>
                <w:b w:val="0"/>
                <w:sz w:val="22"/>
              </w:rPr>
              <w:t>B4</w:t>
            </w:r>
          </w:p>
        </w:tc>
        <w:tc>
          <w:tcPr>
            <w:tcW w:type="dxa" w:w="2340"/>
          </w:tcPr>
          <w:p>
            <w:r>
              <w:rPr>
                <w:rFonts w:ascii="Times New Roman" w:hAnsi="Times New Roman" w:eastAsia="Times New Roman"/>
                <w:b w:val="0"/>
                <w:sz w:val="22"/>
              </w:rPr>
              <w:t>Extended (age + age × cluster)</w:t>
            </w:r>
          </w:p>
        </w:tc>
        <w:tc>
          <w:tcPr>
            <w:tcW w:type="dxa" w:w="2340"/>
          </w:tcPr>
          <w:p>
            <w:r>
              <w:rPr>
                <w:rFonts w:ascii="Times New Roman" w:hAnsi="Times New Roman" w:eastAsia="Times New Roman"/>
                <w:b w:val="0"/>
                <w:sz w:val="22"/>
              </w:rPr>
              <w:t>47.04%</w:t>
            </w:r>
          </w:p>
        </w:tc>
        <w:tc>
          <w:tcPr>
            <w:tcW w:type="dxa" w:w="2340"/>
          </w:tcPr>
          <w:p>
            <w:r>
              <w:rPr>
                <w:rFonts w:ascii="Times New Roman" w:hAnsi="Times New Roman" w:eastAsia="Times New Roman"/>
                <w:b w:val="0"/>
                <w:sz w:val="22"/>
              </w:rPr>
              <w:t>[45.02, 49.05]</w:t>
            </w:r>
          </w:p>
        </w:tc>
      </w:tr>
    </w:tbl>
    <w:p>
      <w:pPr>
        <w:spacing w:line="480" w:lineRule="auto" w:before="0" w:after="0"/>
      </w:pPr>
    </w:p>
    <w:p>
      <w:pPr>
        <w:spacing w:line="480" w:lineRule="auto" w:before="0" w:after="0"/>
        <w:jc w:val="left"/>
      </w:pPr>
      <w:r>
        <w:rPr>
          <w:rFonts w:ascii="Times New Roman" w:hAnsi="Times New Roman" w:eastAsia="Times New Roman"/>
          <w:b/>
          <w:sz w:val="24"/>
        </w:rPr>
        <w:t>Table 4. Counterfactual ΔP_x Estimates and H7 Intersection-Union Test</w:t>
      </w:r>
    </w:p>
    <w:p>
      <w:pPr>
        <w:spacing w:line="480" w:lineRule="auto" w:before="0" w:after="0"/>
      </w:pPr>
      <w:r>
        <w:rPr>
          <w:rFonts w:ascii="Times New Roman" w:hAnsi="Times New Roman" w:eastAsia="Times New Roman"/>
          <w:i/>
          <w:sz w:val="24"/>
        </w:rPr>
        <w:t>Note</w:t>
      </w:r>
      <w:r>
        <w:rPr>
          <w:rFonts w:ascii="Times New Roman" w:hAnsi="Times New Roman" w:eastAsia="Times New Roman"/>
          <w:sz w:val="24"/>
        </w:rPr>
        <w:t xml:space="preserve">. Counterfactual operationalization follows the pre-registered specification. Positive ΔP indicates </w:t>
      </w:r>
      <w:r>
        <w:rPr>
          <w:rFonts w:ascii="Times New Roman" w:hAnsi="Times New Roman" w:eastAsia="Times New Roman"/>
          <w:i/>
          <w:sz w:val="24"/>
        </w:rPr>
        <w:t>reduction</w:t>
      </w:r>
      <w:r>
        <w:rPr>
          <w:rFonts w:ascii="Times New Roman" w:hAnsi="Times New Roman" w:eastAsia="Times New Roman"/>
          <w:sz w:val="24"/>
        </w:rPr>
        <w:t xml:space="preserve"> in prevalence (sign convention). Bootstrap CIs use B = 2,000 cell-stratified resamples. The H7 IUT (Berger &amp; Hsu, 1996) computes one-sided 95% lower bounds L_BA and L_BC. Classification follows the pre-registered priority cascade: REVERSAL (priority 1) is triggered when point ΔP_B &lt; ΔP_A OR point ΔP_B &lt; ΔP_C; CONFIRMED requires L_BA &gt; 0 AND L_BC &gt; 0; PARTIAL requires exactly one of L_BA, L_BC &gt; 0; AMBIGUOUS otherwise.</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Intervention</w:t>
            </w:r>
          </w:p>
        </w:tc>
        <w:tc>
          <w:tcPr>
            <w:tcW w:type="dxa" w:w="1872"/>
          </w:tcPr>
          <w:p>
            <w:r>
              <w:rPr>
                <w:rFonts w:ascii="Times New Roman" w:hAnsi="Times New Roman" w:eastAsia="Times New Roman"/>
                <w:b/>
                <w:sz w:val="22"/>
              </w:rPr>
              <w:t>Operationalization</w:t>
            </w:r>
          </w:p>
        </w:tc>
        <w:tc>
          <w:tcPr>
            <w:tcW w:type="dxa" w:w="1872"/>
          </w:tcPr>
          <w:p>
            <w:r>
              <w:rPr>
                <w:rFonts w:ascii="Times New Roman" w:hAnsi="Times New Roman" w:eastAsia="Times New Roman"/>
                <w:b/>
                <w:sz w:val="22"/>
              </w:rPr>
              <w:t>ΔP point</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CI excludes 0?</w:t>
            </w:r>
          </w:p>
        </w:tc>
      </w:tr>
      <w:tr>
        <w:tc>
          <w:tcPr>
            <w:tcW w:type="dxa" w:w="1872"/>
          </w:tcPr>
          <w:p>
            <w:r>
              <w:rPr>
                <w:rFonts w:ascii="Times New Roman" w:hAnsi="Times New Roman" w:eastAsia="Times New Roman"/>
                <w:b w:val="0"/>
                <w:sz w:val="22"/>
              </w:rPr>
              <w:t>A (personality)</w:t>
            </w:r>
          </w:p>
        </w:tc>
        <w:tc>
          <w:tcPr>
            <w:tcW w:type="dxa" w:w="1872"/>
          </w:tcPr>
          <w:p>
            <w:r>
              <w:rPr>
                <w:rFonts w:ascii="Times New Roman" w:hAnsi="Times New Roman" w:eastAsia="Times New Roman"/>
                <w:b w:val="0"/>
                <w:sz w:val="22"/>
              </w:rPr>
              <w:t>do(HH ← +0.3σ; A ← +0.3σ; E ← +0.3σ)</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[−0.0207, +0.0062]</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B (targeted HH+ on low-prev clusters)</w:t>
            </w:r>
          </w:p>
        </w:tc>
        <w:tc>
          <w:tcPr>
            <w:tcW w:type="dxa" w:w="1872"/>
          </w:tcPr>
          <w:p>
            <w:r>
              <w:rPr>
                <w:rFonts w:ascii="Times New Roman" w:hAnsi="Times New Roman" w:eastAsia="Times New Roman"/>
                <w:b w:val="0"/>
                <w:sz w:val="22"/>
              </w:rPr>
              <w:t>do(HH := HH + 0.40σ_HH) for individuals whose baseline cluster ∈ {0, 4, 6}</w:t>
            </w:r>
          </w:p>
        </w:tc>
        <w:tc>
          <w:tcPr>
            <w:tcW w:type="dxa" w:w="1872"/>
          </w:tcPr>
          <w:p>
            <w:r>
              <w:rPr>
                <w:rFonts w:ascii="Times New Roman" w:hAnsi="Times New Roman" w:eastAsia="Times New Roman"/>
                <w:b w:val="0"/>
                <w:sz w:val="22"/>
              </w:rPr>
              <w:t>−0.0059</w:t>
            </w:r>
          </w:p>
        </w:tc>
        <w:tc>
          <w:tcPr>
            <w:tcW w:type="dxa" w:w="1872"/>
          </w:tcPr>
          <w:p>
            <w:r>
              <w:rPr>
                <w:rFonts w:ascii="Times New Roman" w:hAnsi="Times New Roman" w:eastAsia="Times New Roman"/>
                <w:b w:val="0"/>
                <w:sz w:val="22"/>
              </w:rPr>
              <w:t>[−0.0207, +0.0066]</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C (structural)</w:t>
            </w:r>
          </w:p>
        </w:tc>
        <w:tc>
          <w:tcPr>
            <w:tcW w:type="dxa" w:w="1872"/>
          </w:tcPr>
          <w:p>
            <w:r>
              <w:rPr>
                <w:rFonts w:ascii="Times New Roman" w:hAnsi="Times New Roman" w:eastAsia="Times New Roman"/>
                <w:b w:val="0"/>
                <w:sz w:val="22"/>
              </w:rPr>
              <w:t>do(P_{c, x} ← 0.80 × P_{c, x})</w:t>
            </w:r>
          </w:p>
        </w:tc>
        <w:tc>
          <w:tcPr>
            <w:tcW w:type="dxa" w:w="1872"/>
          </w:tcPr>
          <w:p>
            <w:r>
              <w:rPr>
                <w:rFonts w:ascii="Times New Roman" w:hAnsi="Times New Roman" w:eastAsia="Times New Roman"/>
                <w:b w:val="0"/>
                <w:sz w:val="22"/>
              </w:rPr>
              <w:t>+0.0349</w:t>
            </w:r>
          </w:p>
        </w:tc>
        <w:tc>
          <w:tcPr>
            <w:tcW w:type="dxa" w:w="1872"/>
          </w:tcPr>
          <w:p>
            <w:r>
              <w:rPr>
                <w:rFonts w:ascii="Times New Roman" w:hAnsi="Times New Roman" w:eastAsia="Times New Roman"/>
                <w:b w:val="0"/>
                <w:sz w:val="22"/>
              </w:rPr>
              <w:t>[+0.0264, +0.0435]</w:t>
            </w:r>
          </w:p>
        </w:tc>
        <w:tc>
          <w:tcPr>
            <w:tcW w:type="dxa" w:w="1872"/>
          </w:tcPr>
          <w:p>
            <w:r>
              <w:rPr>
                <w:rFonts w:ascii="Times New Roman" w:hAnsi="Times New Roman" w:eastAsia="Times New Roman"/>
                <w:b w:val="0"/>
                <w:sz w:val="22"/>
              </w:rPr>
              <w:t>Yes</w:t>
            </w:r>
          </w:p>
        </w:tc>
      </w:tr>
    </w:tbl>
    <w:p>
      <w:pPr>
        <w:spacing w:line="480" w:lineRule="auto" w:before="0" w:after="0"/>
      </w:pPr>
    </w:p>
    <w:p>
      <w:pPr>
        <w:spacing w:line="480" w:lineRule="auto" w:before="0" w:after="0"/>
      </w:pPr>
      <w:r>
        <w:rPr>
          <w:rFonts w:ascii="Times New Roman" w:hAnsi="Times New Roman" w:eastAsia="Times New Roman"/>
          <w:b/>
          <w:sz w:val="24"/>
        </w:rPr>
        <w:t>H7 IUT:</w:t>
      </w:r>
      <w:r>
        <w:rPr>
          <w:rFonts w:ascii="Times New Roman" w:hAnsi="Times New Roman" w:eastAsia="Times New Roman"/>
          <w:sz w:val="24"/>
        </w:rPr>
        <w:t xml:space="preserve"> L_BA = −0.0011, L_BC = −0.0544; point ΔP_B &lt; point ΔP_C triggers the pre-registered priority-1 condition → </w:t>
      </w:r>
      <w:r>
        <w:rPr>
          <w:rFonts w:ascii="Times New Roman" w:hAnsi="Times New Roman" w:eastAsia="Times New Roman"/>
          <w:b/>
          <w:sz w:val="24"/>
        </w:rPr>
        <w:t>REVERSAL</w:t>
      </w:r>
    </w:p>
    <w:p>
      <w:pPr>
        <w:spacing w:line="480" w:lineRule="auto" w:before="0" w:after="0"/>
      </w:pPr>
      <w:r>
        <w:rPr>
          <w:rFonts w:ascii="Times New Roman" w:hAnsi="Times New Roman" w:eastAsia="Times New Roman"/>
          <w:b/>
          <w:sz w:val="24"/>
        </w:rPr>
        <w:t>Positivity diagnostic (per the pre-registered positivity rule):</w:t>
      </w:r>
      <w:r>
        <w:rPr>
          <w:rFonts w:ascii="Times New Roman" w:hAnsi="Times New Roman" w:eastAsia="Times New Roman"/>
          <w:sz w:val="24"/>
        </w:rPr>
        <w:t xml:space="preserve"> Counterfactual A and C trivially preserve positivity. Counterfactual B's flagged-weight share = 44.5%; the pre-registered downgrade rule is triggered. We interpret B's null finding as exploratory rather than confirmatory.</w:t>
      </w:r>
    </w:p>
    <w:p>
      <w:pPr>
        <w:spacing w:line="480" w:lineRule="auto" w:before="0" w:after="0"/>
        <w:jc w:val="left"/>
      </w:pPr>
      <w:r>
        <w:rPr>
          <w:rFonts w:ascii="Times New Roman" w:hAnsi="Times New Roman" w:eastAsia="Times New Roman"/>
          <w:b/>
          <w:sz w:val="24"/>
        </w:rPr>
        <w:t>Table 5. Transportability Sensitivity (H7 Re-classification Across Cultural Attenuation Factors)</w:t>
      </w:r>
    </w:p>
    <w:p>
      <w:pPr>
        <w:spacing w:line="480" w:lineRule="auto" w:before="0" w:after="0"/>
      </w:pPr>
      <w:r>
        <w:rPr>
          <w:rFonts w:ascii="Times New Roman" w:hAnsi="Times New Roman" w:eastAsia="Times New Roman"/>
          <w:i/>
          <w:sz w:val="24"/>
        </w:rPr>
        <w:t>Note</w:t>
      </w:r>
      <w:r>
        <w:rPr>
          <w:rFonts w:ascii="Times New Roman" w:hAnsi="Times New Roman" w:eastAsia="Times New Roman"/>
          <w:sz w:val="24"/>
        </w:rPr>
        <w:t>. Each row applies factor F multiplicatively to the bootstrap distribution of all three ΔP_x; H7 IUT is re-classified per attenuated factor.</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Factor F</w:t>
            </w:r>
          </w:p>
        </w:tc>
        <w:tc>
          <w:tcPr>
            <w:tcW w:type="dxa" w:w="1872"/>
          </w:tcPr>
          <w:p>
            <w:r>
              <w:rPr>
                <w:rFonts w:ascii="Times New Roman" w:hAnsi="Times New Roman" w:eastAsia="Times New Roman"/>
                <w:b/>
                <w:sz w:val="22"/>
              </w:rPr>
              <w:t>Anchor</w:t>
            </w:r>
          </w:p>
        </w:tc>
        <w:tc>
          <w:tcPr>
            <w:tcW w:type="dxa" w:w="1872"/>
          </w:tcPr>
          <w:p>
            <w:r>
              <w:rPr>
                <w:rFonts w:ascii="Times New Roman" w:hAnsi="Times New Roman" w:eastAsia="Times New Roman"/>
                <w:b/>
                <w:sz w:val="22"/>
              </w:rPr>
              <w:t>ΔP_A (att)</w:t>
            </w:r>
          </w:p>
        </w:tc>
        <w:tc>
          <w:tcPr>
            <w:tcW w:type="dxa" w:w="1872"/>
          </w:tcPr>
          <w:p>
            <w:r>
              <w:rPr>
                <w:rFonts w:ascii="Times New Roman" w:hAnsi="Times New Roman" w:eastAsia="Times New Roman"/>
                <w:b/>
                <w:sz w:val="22"/>
              </w:rPr>
              <w:t>ΔP_C (att)</w:t>
            </w:r>
          </w:p>
        </w:tc>
        <w:tc>
          <w:tcPr>
            <w:tcW w:type="dxa" w:w="1872"/>
          </w:tcPr>
          <w:p>
            <w:r>
              <w:rPr>
                <w:rFonts w:ascii="Times New Roman" w:hAnsi="Times New Roman" w:eastAsia="Times New Roman"/>
                <w:b/>
                <w:sz w:val="22"/>
              </w:rPr>
              <w:t>H7</w:t>
            </w:r>
          </w:p>
        </w:tc>
      </w:tr>
      <w:tr>
        <w:tc>
          <w:tcPr>
            <w:tcW w:type="dxa" w:w="1872"/>
          </w:tcPr>
          <w:p>
            <w:r>
              <w:rPr>
                <w:rFonts w:ascii="Times New Roman" w:hAnsi="Times New Roman" w:eastAsia="Times New Roman"/>
                <w:b w:val="0"/>
                <w:sz w:val="22"/>
              </w:rPr>
              <w:t>0.3</w:t>
            </w:r>
          </w:p>
        </w:tc>
        <w:tc>
          <w:tcPr>
            <w:tcW w:type="dxa" w:w="1872"/>
          </w:tcPr>
          <w:p>
            <w:r>
              <w:rPr>
                <w:rFonts w:ascii="Times New Roman" w:hAnsi="Times New Roman" w:eastAsia="Times New Roman"/>
                <w:b w:val="0"/>
                <w:sz w:val="22"/>
              </w:rPr>
              <w:t>Conservative cross-cultural worst case</w:t>
            </w:r>
          </w:p>
        </w:tc>
        <w:tc>
          <w:tcPr>
            <w:tcW w:type="dxa" w:w="1872"/>
          </w:tcPr>
          <w:p>
            <w:r>
              <w:rPr>
                <w:rFonts w:ascii="Times New Roman" w:hAnsi="Times New Roman" w:eastAsia="Times New Roman"/>
                <w:b w:val="0"/>
                <w:sz w:val="22"/>
              </w:rPr>
              <w:t>−0.0018</w:t>
            </w:r>
          </w:p>
        </w:tc>
        <w:tc>
          <w:tcPr>
            <w:tcW w:type="dxa" w:w="1872"/>
          </w:tcPr>
          <w:p>
            <w:r>
              <w:rPr>
                <w:rFonts w:ascii="Times New Roman" w:hAnsi="Times New Roman" w:eastAsia="Times New Roman"/>
                <w:b w:val="0"/>
                <w:sz w:val="22"/>
              </w:rPr>
              <w:t>+0.0105</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Nielsen et al., 2017 expected</w:t>
            </w:r>
          </w:p>
        </w:tc>
        <w:tc>
          <w:tcPr>
            <w:tcW w:type="dxa" w:w="1872"/>
          </w:tcPr>
          <w:p>
            <w:r>
              <w:rPr>
                <w:rFonts w:ascii="Times New Roman" w:hAnsi="Times New Roman" w:eastAsia="Times New Roman"/>
                <w:b w:val="0"/>
                <w:sz w:val="22"/>
              </w:rPr>
              <w:t>−0.0031</w:t>
            </w:r>
          </w:p>
        </w:tc>
        <w:tc>
          <w:tcPr>
            <w:tcW w:type="dxa" w:w="1872"/>
          </w:tcPr>
          <w:p>
            <w:r>
              <w:rPr>
                <w:rFonts w:ascii="Times New Roman" w:hAnsi="Times New Roman" w:eastAsia="Times New Roman"/>
                <w:b w:val="0"/>
                <w:sz w:val="22"/>
              </w:rPr>
              <w:t>+0.0174</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0.7</w:t>
            </w:r>
          </w:p>
        </w:tc>
        <w:tc>
          <w:tcPr>
            <w:tcW w:type="dxa" w:w="1872"/>
          </w:tcPr>
          <w:p>
            <w:r>
              <w:rPr>
                <w:rFonts w:ascii="Times New Roman" w:hAnsi="Times New Roman" w:eastAsia="Times New Roman"/>
                <w:b w:val="0"/>
                <w:sz w:val="22"/>
              </w:rPr>
              <w:t>Mild attenuation</w:t>
            </w:r>
          </w:p>
        </w:tc>
        <w:tc>
          <w:tcPr>
            <w:tcW w:type="dxa" w:w="1872"/>
          </w:tcPr>
          <w:p>
            <w:r>
              <w:rPr>
                <w:rFonts w:ascii="Times New Roman" w:hAnsi="Times New Roman" w:eastAsia="Times New Roman"/>
                <w:b w:val="0"/>
                <w:sz w:val="22"/>
              </w:rPr>
              <w:t>−0.0043</w:t>
            </w:r>
          </w:p>
        </w:tc>
        <w:tc>
          <w:tcPr>
            <w:tcW w:type="dxa" w:w="1872"/>
          </w:tcPr>
          <w:p>
            <w:r>
              <w:rPr>
                <w:rFonts w:ascii="Times New Roman" w:hAnsi="Times New Roman" w:eastAsia="Times New Roman"/>
                <w:b w:val="0"/>
                <w:sz w:val="22"/>
              </w:rPr>
              <w:t>+0.0244</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Reference (no attenuation)</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+0.0349</w:t>
            </w:r>
          </w:p>
        </w:tc>
        <w:tc>
          <w:tcPr>
            <w:tcW w:type="dxa" w:w="1872"/>
          </w:tcPr>
          <w:p>
            <w:r>
              <w:rPr>
                <w:rFonts w:ascii="Times New Roman" w:hAnsi="Times New Roman" w:eastAsia="Times New Roman"/>
                <w:b w:val="0"/>
                <w:sz w:val="22"/>
              </w:rPr>
              <w:t>REVERSAL</w:t>
            </w:r>
          </w:p>
        </w:tc>
      </w:tr>
    </w:tbl>
    <w:p>
      <w:pPr>
        <w:spacing w:line="480" w:lineRule="auto" w:before="0" w:after="0"/>
      </w:pPr>
    </w:p>
    <w:p>
      <w:pPr>
        <w:spacing w:line="480" w:lineRule="auto" w:before="0" w:after="0"/>
        <w:jc w:val="left"/>
      </w:pPr>
      <w:r>
        <w:rPr>
          <w:rFonts w:ascii="Times New Roman" w:hAnsi="Times New Roman" w:eastAsia="Times New Roman"/>
          <w:b/>
          <w:sz w:val="24"/>
        </w:rPr>
        <w:t>Table 6. Pre-Registered Hypothesis Outcomes Summary</w:t>
      </w:r>
    </w:p>
    <w:p>
      <w:pPr>
        <w:spacing w:line="480" w:lineRule="auto" w:before="0" w:after="0"/>
      </w:pPr>
      <w:r>
        <w:rPr>
          <w:rFonts w:ascii="Times New Roman" w:hAnsi="Times New Roman" w:eastAsia="Times New Roman"/>
          <w:i/>
          <w:sz w:val="24"/>
        </w:rPr>
        <w:t>Note</w:t>
      </w:r>
      <w:r>
        <w:rPr>
          <w:rFonts w:ascii="Times New Roman" w:hAnsi="Times New Roman" w:eastAsia="Times New Roman"/>
          <w:sz w:val="24"/>
        </w:rPr>
        <w:t>. Hypothesis classification follows the pre-registered specification (the four-tier hierarchy for H1 and the IUT priority cascade for H7).</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Hypothesis</w:t>
            </w:r>
          </w:p>
        </w:tc>
        <w:tc>
          <w:tcPr>
            <w:tcW w:type="dxa" w:w="2340"/>
          </w:tcPr>
          <w:p>
            <w:r>
              <w:rPr>
                <w:rFonts w:ascii="Times New Roman" w:hAnsi="Times New Roman" w:eastAsia="Times New Roman"/>
                <w:b/>
                <w:sz w:val="22"/>
              </w:rPr>
              <w:t>Pre-registered prediction</w:t>
            </w:r>
          </w:p>
        </w:tc>
        <w:tc>
          <w:tcPr>
            <w:tcW w:type="dxa" w:w="2340"/>
          </w:tcPr>
          <w:p>
            <w:r>
              <w:rPr>
                <w:rFonts w:ascii="Times New Roman" w:hAnsi="Times New Roman" w:eastAsia="Times New Roman"/>
                <w:b/>
                <w:sz w:val="22"/>
              </w:rPr>
              <w:t>Outcome</w:t>
            </w:r>
          </w:p>
        </w:tc>
        <w:tc>
          <w:tcPr>
            <w:tcW w:type="dxa" w:w="2340"/>
          </w:tcPr>
          <w:p>
            <w:r>
              <w:rPr>
                <w:rFonts w:ascii="Times New Roman" w:hAnsi="Times New Roman" w:eastAsia="Times New Roman"/>
                <w:b/>
                <w:sz w:val="22"/>
              </w:rPr>
              <w:t>Tier</w:t>
            </w:r>
          </w:p>
        </w:tc>
      </w:tr>
      <w:tr>
        <w:tc>
          <w:tcPr>
            <w:tcW w:type="dxa" w:w="2340"/>
          </w:tcPr>
          <w:p>
            <w:r>
              <w:rPr>
                <w:rFonts w:ascii="Times New Roman" w:hAnsi="Times New Roman" w:eastAsia="Times New Roman"/>
                <w:b w:val="0"/>
                <w:sz w:val="22"/>
              </w:rPr>
              <w:t>H1</w:t>
            </w:r>
          </w:p>
        </w:tc>
        <w:tc>
          <w:tcPr>
            <w:tcW w:type="dxa" w:w="2340"/>
          </w:tcPr>
          <w:p>
            <w:r>
              <w:rPr>
                <w:rFonts w:ascii="Times New Roman" w:hAnsi="Times New Roman" w:eastAsia="Times New Roman"/>
                <w:b w:val="0"/>
                <w:sz w:val="22"/>
              </w:rPr>
              <w:t>MAPE_FY2016 ≤ 30% (Strict / Standard SUCCESS)</w:t>
            </w:r>
          </w:p>
        </w:tc>
        <w:tc>
          <w:tcPr>
            <w:tcW w:type="dxa" w:w="2340"/>
          </w:tcPr>
          <w:p>
            <w:r>
              <w:rPr>
                <w:rFonts w:ascii="Times New Roman" w:hAnsi="Times New Roman" w:eastAsia="Times New Roman"/>
                <w:b w:val="0"/>
                <w:sz w:val="22"/>
              </w:rPr>
              <w:t>MAPE = 46.34%</w:t>
            </w:r>
          </w:p>
        </w:tc>
        <w:tc>
          <w:tcPr>
            <w:tcW w:type="dxa" w:w="2340"/>
          </w:tcPr>
          <w:p>
            <w:r>
              <w:rPr>
                <w:rFonts w:ascii="Times New Roman" w:hAnsi="Times New Roman" w:eastAsia="Times New Roman"/>
                <w:b w:val="0"/>
                <w:sz w:val="22"/>
              </w:rPr>
              <w:t>PARTIAL SUCCESS</w:t>
            </w:r>
          </w:p>
        </w:tc>
      </w:tr>
      <w:tr>
        <w:tc>
          <w:tcPr>
            <w:tcW w:type="dxa" w:w="2340"/>
          </w:tcPr>
          <w:p>
            <w:r>
              <w:rPr>
                <w:rFonts w:ascii="Times New Roman" w:hAnsi="Times New Roman" w:eastAsia="Times New Roman"/>
                <w:b w:val="0"/>
                <w:sz w:val="22"/>
              </w:rPr>
              <w:t>H2</w:t>
            </w:r>
          </w:p>
        </w:tc>
        <w:tc>
          <w:tcPr>
            <w:tcW w:type="dxa" w:w="2340"/>
          </w:tcPr>
          <w:p>
            <w:r>
              <w:rPr>
                <w:rFonts w:ascii="Times New Roman" w:hAnsi="Times New Roman" w:eastAsia="Times New Roman"/>
                <w:b w:val="0"/>
                <w:sz w:val="22"/>
              </w:rPr>
              <w:t>Monotonic B0 &gt; B1 &gt; B2 &gt; B3 &gt; B4</w:t>
            </w:r>
          </w:p>
        </w:tc>
        <w:tc>
          <w:tcPr>
            <w:tcW w:type="dxa" w:w="2340"/>
          </w:tcPr>
          <w:p>
            <w:r>
              <w:rPr>
                <w:rFonts w:ascii="Times New Roman" w:hAnsi="Times New Roman" w:eastAsia="Times New Roman"/>
                <w:b w:val="0"/>
                <w:sz w:val="22"/>
              </w:rPr>
              <w:t>0 of 4 pairs confirmed</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H3</w:t>
            </w:r>
          </w:p>
        </w:tc>
        <w:tc>
          <w:tcPr>
            <w:tcW w:type="dxa" w:w="2340"/>
          </w:tcPr>
          <w:p>
            <w:r>
              <w:rPr>
                <w:rFonts w:ascii="Times New Roman" w:hAnsi="Times New Roman" w:eastAsia="Times New Roman"/>
                <w:b w:val="0"/>
                <w:sz w:val="22"/>
              </w:rPr>
              <w:t>Centroid concordance N=354 vs N=13,668</w:t>
            </w:r>
          </w:p>
        </w:tc>
        <w:tc>
          <w:tcPr>
            <w:tcW w:type="dxa" w:w="2340"/>
          </w:tcPr>
          <w:p>
            <w:r>
              <w:rPr>
                <w:rFonts w:ascii="Times New Roman" w:hAnsi="Times New Roman" w:eastAsia="Times New Roman"/>
                <w:b w:val="0"/>
                <w:sz w:val="22"/>
              </w:rPr>
              <w:t>Externally validated in Tokiwa (2026) on the N=13,668 source sample; not separately re-tested in the present N=354 pipeline</w:t>
            </w:r>
          </w:p>
        </w:tc>
        <w:tc>
          <w:tcPr>
            <w:tcW w:type="dxa" w:w="2340"/>
          </w:tcPr>
          <w:p>
            <w:r>
              <w:rPr>
                <w:rFonts w:ascii="Times New Roman" w:hAnsi="Times New Roman" w:eastAsia="Times New Roman"/>
                <w:b w:val="0"/>
                <w:sz w:val="22"/>
              </w:rPr>
              <w:t>EXTERNALLY CONFIRMED</w:t>
            </w:r>
          </w:p>
        </w:tc>
      </w:tr>
      <w:tr>
        <w:tc>
          <w:tcPr>
            <w:tcW w:type="dxa" w:w="2340"/>
          </w:tcPr>
          <w:p>
            <w:r>
              <w:rPr>
                <w:rFonts w:ascii="Times New Roman" w:hAnsi="Times New Roman" w:eastAsia="Times New Roman"/>
                <w:b w:val="0"/>
                <w:sz w:val="22"/>
              </w:rPr>
              <w:t>H4</w:t>
            </w:r>
          </w:p>
        </w:tc>
        <w:tc>
          <w:tcPr>
            <w:tcW w:type="dxa" w:w="2340"/>
          </w:tcPr>
          <w:p>
            <w:r>
              <w:rPr>
                <w:rFonts w:ascii="Times New Roman" w:hAnsi="Times New Roman" w:eastAsia="Times New Roman"/>
                <w:b w:val="0"/>
                <w:sz w:val="22"/>
              </w:rPr>
              <w:t>Per-cell propensity stability</w:t>
            </w:r>
          </w:p>
        </w:tc>
        <w:tc>
          <w:tcPr>
            <w:tcW w:type="dxa" w:w="2340"/>
          </w:tcPr>
          <w:p>
            <w:r>
              <w:rPr>
                <w:rFonts w:ascii="Times New Roman" w:hAnsi="Times New Roman" w:eastAsia="Times New Roman"/>
                <w:b w:val="0"/>
                <w:sz w:val="22"/>
              </w:rPr>
              <w:t>13/14 cells resolved at BCa; 1 (X=0) at Clopper-Pearson per the pre-registered cascade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H5</w:t>
            </w:r>
          </w:p>
        </w:tc>
        <w:tc>
          <w:tcPr>
            <w:tcW w:type="dxa" w:w="2340"/>
          </w:tcPr>
          <w:p>
            <w:r>
              <w:rPr>
                <w:rFonts w:ascii="Times New Roman" w:hAnsi="Times New Roman" w:eastAsia="Times New Roman"/>
                <w:b w:val="0"/>
                <w:sz w:val="22"/>
              </w:rPr>
              <w:t>Gender invariance</w:t>
            </w:r>
          </w:p>
        </w:tc>
        <w:tc>
          <w:tcPr>
            <w:tcW w:type="dxa" w:w="2340"/>
          </w:tcPr>
          <w:p>
            <w:r>
              <w:rPr>
                <w:rFonts w:ascii="Times New Roman" w:hAnsi="Times New Roman" w:eastAsia="Times New Roman"/>
                <w:b w:val="0"/>
                <w:sz w:val="22"/>
              </w:rPr>
              <w:t>Spearman ρ(female, male) = 0.87 across 7 clusters (p = 0.01). The 14-cell vs 28-cell sensitivity (28-cell adds × 2 roles, not a re-split of gender) is reported as a robustness check on role-stratification stability rather than as a re-test of gender invariance.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H6</w:t>
            </w:r>
          </w:p>
        </w:tc>
        <w:tc>
          <w:tcPr>
            <w:tcW w:type="dxa" w:w="2340"/>
          </w:tcPr>
          <w:p>
            <w:r>
              <w:rPr>
                <w:rFonts w:ascii="Times New Roman" w:hAnsi="Times New Roman" w:eastAsia="Times New Roman"/>
                <w:b w:val="0"/>
                <w:sz w:val="22"/>
              </w:rPr>
              <w:t>Power × gender harassment cluster ranking concordance</w:t>
            </w:r>
          </w:p>
        </w:tc>
        <w:tc>
          <w:tcPr>
            <w:tcW w:type="dxa" w:w="2340"/>
          </w:tcPr>
          <w:p>
            <w:r>
              <w:rPr>
                <w:rFonts w:ascii="Times New Roman" w:hAnsi="Times New Roman" w:eastAsia="Times New Roman"/>
                <w:b w:val="0"/>
                <w:sz w:val="22"/>
              </w:rPr>
              <w:t>Spearman ρ = 0.04 (7-cluster) / 0.14 (14-cell), both p &gt; 0.6</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H7</w:t>
            </w:r>
          </w:p>
        </w:tc>
        <w:tc>
          <w:tcPr>
            <w:tcW w:type="dxa" w:w="2340"/>
          </w:tcPr>
          <w:p>
            <w:r>
              <w:rPr>
                <w:rFonts w:ascii="Times New Roman" w:hAnsi="Times New Roman" w:eastAsia="Times New Roman"/>
                <w:b w:val="0"/>
                <w:sz w:val="22"/>
              </w:rPr>
              <w:t>IUT classification</w:t>
            </w:r>
          </w:p>
        </w:tc>
        <w:tc>
          <w:tcPr>
            <w:tcW w:type="dxa" w:w="2340"/>
          </w:tcPr>
          <w:p>
            <w:r>
              <w:rPr>
                <w:rFonts w:ascii="Times New Roman" w:hAnsi="Times New Roman" w:eastAsia="Times New Roman"/>
                <w:b w:val="0"/>
                <w:sz w:val="22"/>
              </w:rPr>
              <w:t>REVERSAL (robust F=0.3–1.0)</w:t>
            </w:r>
          </w:p>
        </w:tc>
        <w:tc>
          <w:tcPr>
            <w:tcW w:type="dxa" w:w="2340"/>
          </w:tcPr>
          <w:p>
            <w:r>
              <w:rPr>
                <w:rFonts w:ascii="Times New Roman" w:hAnsi="Times New Roman" w:eastAsia="Times New Roman"/>
                <w:b w:val="0"/>
                <w:sz w:val="22"/>
              </w:rPr>
              <w:t>REVERSAL</w:t>
            </w:r>
          </w:p>
        </w:tc>
      </w:tr>
    </w:tbl>
    <w:p>
      <w:pPr>
        <w:spacing w:line="480" w:lineRule="auto" w:before="0" w:after="0"/>
      </w:pPr>
    </w:p>
    <w:p>
      <w:pPr>
        <w:spacing w:line="480" w:lineRule="auto" w:before="0" w:after="0"/>
        <w:jc w:val="center"/>
      </w:pPr>
      <w:r>
        <w:rPr>
          <w:rFonts w:ascii="Times New Roman" w:hAnsi="Times New Roman" w:eastAsia="Times New Roman"/>
          <w:b/>
          <w:sz w:val="24"/>
        </w:rPr>
        <w:t>Figures</w:t>
      </w:r>
    </w:p>
    <w:p>
      <w:pPr>
        <w:spacing w:line="480" w:lineRule="auto" w:before="0" w:after="0"/>
        <w:jc w:val="left"/>
      </w:pPr>
      <w:r>
        <w:rPr>
          <w:rFonts w:ascii="Times New Roman" w:hAnsi="Times New Roman" w:eastAsia="Times New Roman"/>
          <w:b/>
          <w:sz w:val="24"/>
        </w:rPr>
        <w:t>Figure 1. Pipeline Schematic</w:t>
      </w:r>
    </w:p>
    <w:p>
      <w:pPr>
        <w:spacing w:line="480" w:lineRule="auto" w:before="0" w:after="0"/>
      </w:pPr>
      <w:r>
        <w:rPr>
          <w:rFonts w:ascii="Times New Roman" w:hAnsi="Times New Roman" w:eastAsia="Times New Roman"/>
          <w:sz w:val="24"/>
        </w:rPr>
        <w:t>A box-and-arrow diagram of the nine pre-registered pipeline stages, showing the data inputs (N = 354 individual data; Tokiwa, 2026, 7-cluster centroids; Statistics Bureau (MIC) Labour Force Survey 2022) flowing through Stages 0–8 with their HDF5 outputs.</w:t>
      </w:r>
    </w:p>
    <w:p>
      <w:pPr>
        <w:spacing w:line="480" w:lineRule="auto" w:before="0" w:after="0"/>
      </w:pPr>
      <w:r>
        <w:rPr>
          <w:rFonts w:ascii="Times New Roman" w:hAnsi="Times New Roman" w:eastAsia="Times New Roman"/>
          <w:b/>
          <w:sz w:val="24"/>
        </w:rPr>
        <w:t>Caption.</w:t>
      </w:r>
      <w:r>
        <w:rPr>
          <w:rFonts w:ascii="Times New Roman" w:hAnsi="Times New Roman" w:eastAsia="Times New Roman"/>
          <w:sz w:val="24"/>
        </w:rPr>
        <w:t xml:space="preserve"> </w:t>
      </w:r>
      <w:r>
        <w:rPr>
          <w:rFonts w:ascii="Times New Roman" w:hAnsi="Times New Roman" w:eastAsia="Times New Roman"/>
          <w:i/>
          <w:sz w:val="24"/>
        </w:rPr>
        <w:t>The HEXACO 7-typology workplace harassment microsimulation pipeline. Stage 0 (cell propensity) feeds into Stage 1 (population aggregation, MIC-reweighted) and Stage 2 (H1 four-tier classification). Stage 3 (sensitivity), Stage 4 (baselines), Stage 5 (CMV diagnostic), Stage 6 (target trial PICO), Stage 7 (counterfactuals + H7 IUT), and Stage 8 (transportability) operate in parallel after Stage 2.</w:t>
      </w:r>
    </w:p>
    <w:p>
      <w:pPr>
        <w:spacing w:line="480" w:lineRule="auto" w:before="0" w:after="0"/>
        <w:jc w:val="left"/>
      </w:pPr>
      <w:r>
        <w:rPr>
          <w:rFonts w:ascii="Times New Roman" w:hAnsi="Times New Roman" w:eastAsia="Times New Roman"/>
          <w:b/>
          <w:sz w:val="24"/>
        </w:rPr>
        <w:t>Figure 2. 14-Cell Cell-Level Propensity (Stage 0)</w:t>
      </w:r>
    </w:p>
    <w:p>
      <w:pPr>
        <w:spacing w:line="480" w:lineRule="auto" w:before="0" w:after="0"/>
      </w:pPr>
      <w:r>
        <w:rPr>
          <w:rFonts w:ascii="Times New Roman" w:hAnsi="Times New Roman" w:eastAsia="Times New Roman"/>
          <w:sz w:val="24"/>
        </w:rPr>
        <w:t>A heatmap of P̂_c across 7 HEXACO clusters × 2 genders, with cell sizes overlaid. Cell ordering follows the pre-registered convention (cluster × 2 + gender index).</w:t>
      </w:r>
    </w:p>
    <w:p>
      <w:pPr>
        <w:spacing w:line="480" w:lineRule="auto" w:before="0" w:after="0"/>
      </w:pPr>
      <w:r>
        <w:rPr>
          <w:rFonts w:ascii="Times New Roman" w:hAnsi="Times New Roman" w:eastAsia="Times New Roman"/>
          <w:b/>
          <w:sz w:val="24"/>
        </w:rPr>
        <w:t>Caption.</w:t>
      </w:r>
      <w:r>
        <w:rPr>
          <w:rFonts w:ascii="Times New Roman" w:hAnsi="Times New Roman" w:eastAsia="Times New Roman"/>
          <w:sz w:val="24"/>
        </w:rPr>
        <w:t xml:space="preserve"> </w:t>
      </w:r>
      <w:r>
        <w:rPr>
          <w:rFonts w:ascii="Times New Roman" w:hAnsi="Times New Roman" w:eastAsia="Times New Roman"/>
          <w:i/>
          <w:sz w:val="24"/>
        </w:rPr>
        <w:t>Per-cell power-harassment victimization propensities P̂_c with 95% bootstrap CIs computed under the pre-registered cascade. Cell sizes (N_c) range from 10 to 70 (median 18). Color encodes propensity (blue = low; red = high). Cells with N_c &lt; 20 are demarcated with a dashed boundary.</w:t>
      </w:r>
    </w:p>
    <w:p>
      <w:pPr>
        <w:spacing w:line="480" w:lineRule="auto" w:before="0" w:after="0"/>
        <w:jc w:val="left"/>
      </w:pPr>
      <w:r>
        <w:rPr>
          <w:rFonts w:ascii="Times New Roman" w:hAnsi="Times New Roman" w:eastAsia="Times New Roman"/>
          <w:b/>
          <w:sz w:val="24"/>
        </w:rPr>
        <w:t>Figure 3. National Prevalence vs MHLW Validation Targets</w:t>
      </w:r>
    </w:p>
    <w:p>
      <w:pPr>
        <w:spacing w:line="480" w:lineRule="auto" w:before="0" w:after="0"/>
      </w:pPr>
      <w:r>
        <w:rPr>
          <w:rFonts w:ascii="Times New Roman" w:hAnsi="Times New Roman" w:eastAsia="Times New Roman"/>
          <w:sz w:val="24"/>
        </w:rPr>
        <w:t>A bar chart of model-predicted P̂ = 0.1744 (single bar) overlaid with the three MHLW validation targets (FY2016 = 0.325, FY2020 = 0.314, FY2023 = 0.193) as horizontal reference lines, with the staged enforcement period of the 2020 Power Harassment Prevention Law shaded.</w:t>
      </w:r>
    </w:p>
    <w:p>
      <w:pPr>
        <w:spacing w:line="480" w:lineRule="auto" w:before="0" w:after="0"/>
      </w:pPr>
      <w:r>
        <w:rPr>
          <w:rFonts w:ascii="Times New Roman" w:hAnsi="Times New Roman" w:eastAsia="Times New Roman"/>
          <w:b/>
          <w:sz w:val="24"/>
        </w:rPr>
        <w:t>Caption.</w:t>
      </w:r>
      <w:r>
        <w:rPr>
          <w:rFonts w:ascii="Times New Roman" w:hAnsi="Times New Roman" w:eastAsia="Times New Roman"/>
          <w:sz w:val="24"/>
        </w:rPr>
        <w:t xml:space="preserve"> </w:t>
      </w:r>
      <w:r>
        <w:rPr>
          <w:rFonts w:ascii="Times New Roman" w:hAnsi="Times New Roman" w:eastAsia="Times New Roman"/>
          <w:i/>
          <w:sz w:val="24"/>
        </w:rPr>
        <w:t>Model-based national prevalence (P̂ = 17.44%, blue bar) compared with MHLW past-three-year power-harassment victimization targets across three survey periods. The 2020 Power Harassment Prevention Law's staged enforcement (large enterprises 2020-06; SMEs 2022-04) coincides with the FY2020 → FY2023 decline. Predicted prevalence aligns most closely with the post-law FY2023 target (Standard SUCCESS; CI upper 31.52% narrowly above the 30% Strict threshold).</w:t>
      </w:r>
    </w:p>
    <w:p>
      <w:pPr>
        <w:spacing w:line="480" w:lineRule="auto" w:before="0" w:after="0"/>
        <w:jc w:val="left"/>
      </w:pPr>
      <w:r>
        <w:rPr>
          <w:rFonts w:ascii="Times New Roman" w:hAnsi="Times New Roman" w:eastAsia="Times New Roman"/>
          <w:b/>
          <w:sz w:val="24"/>
        </w:rPr>
        <w:t>Figure 4. OAT Sensitivity Tornado Plot</w:t>
      </w:r>
    </w:p>
    <w:p>
      <w:pPr>
        <w:spacing w:line="480" w:lineRule="auto" w:before="0" w:after="0"/>
      </w:pPr>
      <w:r>
        <w:rPr>
          <w:rFonts w:ascii="Times New Roman" w:hAnsi="Times New Roman" w:eastAsia="Times New Roman"/>
          <w:sz w:val="24"/>
        </w:rPr>
        <w:t>A tornado plot with parameter families on the y-axis and MAPE_FY2016 horizontal bars on the x-axis, ordered by sensitivity magnitude. The two sensitive families (binarization, cluster mass) appear at the top with wide bars; the two stable families (soft τ, EB scale) appear at the bottom with narrow bars. The locked main configuration is marked with a vertical reference line.</w:t>
      </w:r>
    </w:p>
    <w:p>
      <w:pPr>
        <w:spacing w:line="480" w:lineRule="auto" w:before="0" w:after="0"/>
      </w:pPr>
      <w:r>
        <w:rPr>
          <w:rFonts w:ascii="Times New Roman" w:hAnsi="Times New Roman" w:eastAsia="Times New Roman"/>
          <w:b/>
          <w:sz w:val="24"/>
        </w:rPr>
        <w:t>Caption.</w:t>
      </w:r>
      <w:r>
        <w:rPr>
          <w:rFonts w:ascii="Times New Roman" w:hAnsi="Times New Roman" w:eastAsia="Times New Roman"/>
          <w:sz w:val="24"/>
        </w:rPr>
        <w:t xml:space="preserve"> </w:t>
      </w:r>
      <w:r>
        <w:rPr>
          <w:rFonts w:ascii="Times New Roman" w:hAnsi="Times New Roman" w:eastAsia="Times New Roman"/>
          <w:i/>
          <w:sz w:val="24"/>
        </w:rPr>
        <w:t>One-at-a-time sensitivity sweep of FY2016 MAPE. Binarization threshold and cluster mass shift exhibit substantial sensitivity (range 29.6% to 56.5%), whereas soft-assignment τ and empirical Bayes shrinkage scale exhibit negligible sensitivity (range &lt; 0.5%). Vertical line at 45.51% marks the locked v2.0 main configuration.</w:t>
      </w:r>
    </w:p>
    <w:p>
      <w:pPr>
        <w:spacing w:line="480" w:lineRule="auto" w:before="0" w:after="0"/>
        <w:jc w:val="left"/>
      </w:pPr>
      <w:r>
        <w:rPr>
          <w:rFonts w:ascii="Times New Roman" w:hAnsi="Times New Roman" w:eastAsia="Times New Roman"/>
          <w:b/>
          <w:sz w:val="24"/>
        </w:rPr>
        <w:t>Figure 5. Counterfactual ΔP_x Forest Plot</w:t>
      </w:r>
    </w:p>
    <w:p>
      <w:pPr>
        <w:spacing w:line="480" w:lineRule="auto" w:before="0" w:after="0"/>
      </w:pPr>
      <w:r>
        <w:rPr>
          <w:rFonts w:ascii="Times New Roman" w:hAnsi="Times New Roman" w:eastAsia="Times New Roman"/>
          <w:sz w:val="24"/>
        </w:rPr>
        <w:t>A forest plot with three counterfactuals on the y-axis (A, B, C), point estimates with 95% CIs as horizontal whiskers, and a vertical reference line at ΔP = 0. Counterfactuals A and B's CIs overlap zero; Counterfactual C's CI excludes zero on the positive side.</w:t>
      </w:r>
    </w:p>
    <w:p>
      <w:pPr>
        <w:spacing w:line="480" w:lineRule="auto" w:before="0" w:after="0"/>
      </w:pPr>
      <w:r>
        <w:rPr>
          <w:rFonts w:ascii="Times New Roman" w:hAnsi="Times New Roman" w:eastAsia="Times New Roman"/>
          <w:b/>
          <w:sz w:val="24"/>
        </w:rPr>
        <w:t>Caption.</w:t>
      </w:r>
      <w:r>
        <w:rPr>
          <w:rFonts w:ascii="Times New Roman" w:hAnsi="Times New Roman" w:eastAsia="Times New Roman"/>
          <w:sz w:val="24"/>
        </w:rPr>
        <w:t xml:space="preserve"> </w:t>
      </w:r>
      <w:r>
        <w:rPr>
          <w:rFonts w:ascii="Times New Roman" w:hAnsi="Times New Roman" w:eastAsia="Times New Roman"/>
          <w:i/>
          <w:sz w:val="24"/>
        </w:rPr>
        <w:t>Counterfactual ΔP_x estimates and 95% CIs. Personality intervention (A; +0.3 SD on H/A/E for all individuals) and targeted personality intervention (B; +0.40 SD on HH restricted to individuals already in the low-prevalence Cluster {0, 4, 6} subgroup) yield null effects (CIs cross zero). Structural intervention (C; −20% propensity, calibrated against three meta-analyses and the MHLW FY2016–FY2023 Power Harassment Prevention Law natural experiment) yields a positive effect of +3.49 percentage points (CI excludes zero on the positive side). The H7 intersection-union test (Berger &amp; Hsu, 1996) classifies this configuration as REVERSAL.</w:t>
      </w:r>
    </w:p>
    <w:p>
      <w:pPr>
        <w:spacing w:line="480" w:lineRule="auto" w:before="0" w:after="0"/>
        <w:jc w:val="left"/>
      </w:pPr>
      <w:r>
        <w:rPr>
          <w:rFonts w:ascii="Times New Roman" w:hAnsi="Times New Roman" w:eastAsia="Times New Roman"/>
          <w:b/>
          <w:sz w:val="24"/>
        </w:rPr>
        <w:t>Figure 6. Transportability Robustness</w:t>
      </w:r>
    </w:p>
    <w:p>
      <w:pPr>
        <w:spacing w:line="480" w:lineRule="auto" w:before="0" w:after="0"/>
      </w:pPr>
      <w:r>
        <w:rPr>
          <w:rFonts w:ascii="Times New Roman" w:hAnsi="Times New Roman" w:eastAsia="Times New Roman"/>
          <w:sz w:val="24"/>
        </w:rPr>
        <w:t>A line plot with cultural attenuation factor F on the x-axis (0.3 to 1.0) and ΔP_x on the y-axis. Three lines for ΔP_A, ΔP_B, ΔP_C, with 95% CIs as shaded bands. The ΔP_C line remains above zero across the entire factor range; the ΔP_A and ΔP_B lines remain centered on zero.</w:t>
      </w:r>
    </w:p>
    <w:p>
      <w:pPr>
        <w:spacing w:line="480" w:lineRule="auto" w:before="0" w:after="0"/>
      </w:pPr>
      <w:r>
        <w:rPr>
          <w:rFonts w:ascii="Times New Roman" w:hAnsi="Times New Roman" w:eastAsia="Times New Roman"/>
          <w:b/>
          <w:sz w:val="24"/>
        </w:rPr>
        <w:t>Caption.</w:t>
      </w:r>
      <w:r>
        <w:rPr>
          <w:rFonts w:ascii="Times New Roman" w:hAnsi="Times New Roman" w:eastAsia="Times New Roman"/>
          <w:sz w:val="24"/>
        </w:rPr>
        <w:t xml:space="preserve"> </w:t>
      </w:r>
      <w:r>
        <w:rPr>
          <w:rFonts w:ascii="Times New Roman" w:hAnsi="Times New Roman" w:eastAsia="Times New Roman"/>
          <w:i/>
          <w:sz w:val="24"/>
        </w:rPr>
        <w:t>H7 IUT classification under cultural attenuation factors F ∈ {0.3, 0.5, 0.7, 1.0}. The REVERSAL classification (structural dominance) is preserved across all four factors, including the conservative cross-cultural worst-case anchor (F = 0.3) and the Nielsen et al. (2017) Asia/Oceania expected attenuation (F = 0.5).</w:t>
      </w:r>
    </w:p>
    <w:p>
      <w:pPr>
        <w:pStyle w:val="ListBullet"/>
        <w:spacing w:line="480" w:lineRule="auto" w:before="0" w:after="0"/>
      </w:pPr>
      <w:r>
        <w:rPr>
          <w:rFonts w:ascii="Times New Roman" w:hAnsi="Times New Roman" w:eastAsia="Times New Roman"/>
          <w:sz w:val="24"/>
        </w:rPr>
        <w:t>Tables 1–6: Embedded in manuscript_preprint.docx as native Word tables with APA-style formatting (Times New Roman 12 pt, double-spaced, lines below header and final row).</w:t>
      </w:r>
    </w:p>
    <w:p>
      <w:pPr>
        <w:pStyle w:val="ListBullet"/>
        <w:spacing w:line="480" w:lineRule="auto" w:before="0" w:after="0"/>
      </w:pPr>
      <w:r>
        <w:rPr>
          <w:rFonts w:ascii="Times New Roman" w:hAnsi="Times New Roman" w:eastAsia="Times New Roman"/>
          <w:sz w:val="24"/>
        </w:rPr>
        <w:t>Figure 1 (pipeline schematic): Illustrative schematic; the underlying values come from the pre-registered specification.</w:t>
      </w:r>
    </w:p>
    <w:p>
      <w:pPr>
        <w:pStyle w:val="ListBullet"/>
        <w:spacing w:line="480" w:lineRule="auto" w:before="0" w:after="0"/>
      </w:pPr>
      <w:r>
        <w:rPr>
          <w:rFonts w:ascii="Times New Roman" w:hAnsi="Times New Roman" w:eastAsia="Times New Roman"/>
          <w:sz w:val="24"/>
        </w:rPr>
        <w:t>Figure 2 (14-cell heatmap): Generated from output/supplementary/stage0_cell_propensity.h5 via matplotlib.</w:t>
      </w:r>
    </w:p>
    <w:p>
      <w:pPr>
        <w:pStyle w:val="ListBullet"/>
        <w:spacing w:line="480" w:lineRule="auto" w:before="0" w:after="0"/>
      </w:pPr>
      <w:r>
        <w:rPr>
          <w:rFonts w:ascii="Times New Roman" w:hAnsi="Times New Roman" w:eastAsia="Times New Roman"/>
          <w:sz w:val="24"/>
        </w:rPr>
        <w:t>Figure 3 (prevalence comparison): Generated from stage1_population_aggregation.h5 and stage2_validation.h5.</w:t>
      </w:r>
    </w:p>
    <w:p>
      <w:pPr>
        <w:pStyle w:val="ListBullet"/>
        <w:spacing w:line="480" w:lineRule="auto" w:before="0" w:after="0"/>
      </w:pPr>
      <w:r>
        <w:rPr>
          <w:rFonts w:ascii="Times New Roman" w:hAnsi="Times New Roman" w:eastAsia="Times New Roman"/>
          <w:sz w:val="24"/>
        </w:rPr>
        <w:t>Figure 4 (sensitivity tornado): Generated from stage3_sensitivity.h5.</w:t>
      </w:r>
    </w:p>
    <w:p>
      <w:pPr>
        <w:pStyle w:val="ListBullet"/>
        <w:spacing w:line="480" w:lineRule="auto" w:before="0" w:after="0"/>
      </w:pPr>
      <w:r>
        <w:rPr>
          <w:rFonts w:ascii="Times New Roman" w:hAnsi="Times New Roman" w:eastAsia="Times New Roman"/>
          <w:sz w:val="24"/>
        </w:rPr>
        <w:t>Figure 5 (counterfactual forest): Generated from stage7_counterfactual.h5.</w:t>
      </w:r>
    </w:p>
    <w:p>
      <w:pPr>
        <w:pStyle w:val="ListBullet"/>
        <w:spacing w:line="480" w:lineRule="auto" w:before="0" w:after="0"/>
      </w:pPr>
      <w:r>
        <w:rPr>
          <w:rFonts w:ascii="Times New Roman" w:hAnsi="Times New Roman" w:eastAsia="Times New Roman"/>
          <w:sz w:val="24"/>
        </w:rPr>
        <w:t>Figure 6 (transportability): Generated from stage8_transportability.h5.</w:t>
      </w:r>
    </w:p>
    <w:p>
      <w:pPr>
        <w:spacing w:line="480" w:lineRule="auto" w:before="0" w:after="0"/>
      </w:pPr>
      <w:r>
        <w:rPr>
          <w:rFonts w:ascii="Times New Roman" w:hAnsi="Times New Roman" w:eastAsia="Times New Roman"/>
          <w:sz w:val="24"/>
        </w:rPr>
        <w:t xml:space="preserve">All figures are saved at 300 DPI in PNG and PDF formats; vector versions (SVG) are also produced for journal submission. PNG embeds are used in </w:t>
      </w:r>
      <w:r>
        <w:rPr>
          <w:rFonts w:ascii="Times New Roman" w:hAnsi="Times New Roman" w:eastAsia="Times New Roman"/>
          <w:sz w:val="24"/>
        </w:rPr>
        <w:t>manuscript_preprint.docx</w:t>
      </w:r>
      <w:r>
        <w:rPr>
          <w:rFonts w:ascii="Times New Roman" w:hAnsi="Times New Roman" w:eastAsia="Times New Roman"/>
          <w:sz w:val="24"/>
        </w:rPr>
        <w:t xml:space="preserve"> and </w:t>
      </w:r>
      <w:r>
        <w:rPr>
          <w:rFonts w:ascii="Times New Roman" w:hAnsi="Times New Roman" w:eastAsia="Times New Roman"/>
          <w:sz w:val="24"/>
        </w:rPr>
        <w:t>manuscript_journal.docx</w:t>
      </w:r>
      <w:r>
        <w:rPr>
          <w:rFonts w:ascii="Times New Roman" w:hAnsi="Times New Roman" w:eastAsia="Times New Roman"/>
          <w:sz w:val="24"/>
        </w:rPr>
        <w:t>; PDF/SVG accompany the journal submission as separate files (per RSOS Stage 2 RR submission requirements).</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jc w:val="left"/>
    </w:pPr>
    <w:r>
      <w:rPr>
        <w:rFonts w:ascii="Times New Roman" w:hAnsi="Times New Roman" w:eastAsia="Times New Roman"/>
        <w:b w:val="0"/>
        <w:sz w:val="24"/>
      </w:rPr>
      <w:t>HEXACO COUNTERFACTUAL MICROSIMULATION</w:t>
    </w:r>
    <w:r>
      <w:rPr>
        <w:rFonts w:ascii="Times New Roman" w:hAnsi="Times New Roman" w:eastAsia="Times New Roman"/>
        <w:sz w:val="24"/>
      </w:rPr>
      <w:tab/>
    </w:r>
    <w:r>
      <w:rPr>
        <w:rFonts w:ascii="Times New Roman" w:hAnsi="Times New Roman" w:eastAsia="Times New Roman"/>
        <w:sz w:val="24"/>
      </w:rPr>
      <w:fldChar w:fldCharType="begin"/>
      <w:instrText>PAGE</w:instrText>
      <w:fldChar w:fldCharType="separate"/>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