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37466e2f36ed89febc4801124819a3c2ad05d06"/>
    <w:p>
      <w:pPr>
        <w:pStyle w:val="Heading1"/>
      </w:pPr>
      <w:r>
        <w:t xml:space="preserve">Cultural dimensions in online learning: A Hofstede-moderated within-Asia synthesis of the Big Five and academic achievement, with a focused look at the Japanese context</w:t>
      </w:r>
    </w:p>
    <w:p>
      <w:pPr>
        <w:pStyle w:val="FirstParagraph"/>
      </w:pPr>
      <w:r>
        <w:rPr>
          <w:bCs/>
          <w:b/>
        </w:rPr>
        <w:t xml:space="preserve">Author</w:t>
      </w:r>
      <w:r>
        <w:t xml:space="preserve">: Eisuke Tokiwa</w:t>
      </w:r>
      <w:r>
        <w:t xml:space="preserve"> </w:t>
      </w:r>
      <w:r>
        <w:rPr>
          <w:bCs/>
          <w:b/>
        </w:rPr>
        <w:t xml:space="preserve">Affiliation</w:t>
      </w:r>
      <w:r>
        <w:t xml:space="preserve">: SUNBLAZE Co., Ltd., Tokyo, Japan</w:t>
      </w:r>
      <w:r>
        <w:t xml:space="preserve"> </w:t>
      </w:r>
      <w:r>
        <w:rPr>
          <w:bCs/>
          <w:b/>
        </w:rPr>
        <w:t xml:space="preserve">ORCID</w:t>
      </w:r>
      <w:r>
        <w:t xml:space="preserve">: 0009-0009-7124-6669</w:t>
      </w:r>
      <w:r>
        <w:t xml:space="preserve"> </w:t>
      </w:r>
      <w:r>
        <w:rPr>
          <w:bCs/>
          <w:b/>
        </w:rPr>
        <w:t xml:space="preserve">Email</w:t>
      </w:r>
      <w:r>
        <w:t xml:space="preserve">: eisuke.tokiwa@sunblaze.jp</w:t>
      </w:r>
    </w:p>
    <w:p>
      <w:pPr>
        <w:pStyle w:val="BodyText"/>
      </w:pPr>
      <w:r>
        <w:rPr>
          <w:bCs/>
          <w:b/>
        </w:rPr>
        <w:t xml:space="preserve">Target venue</w:t>
      </w:r>
      <w:r>
        <w:t xml:space="preserve">: ICEEL 2026 — International Conference on Education and E-Learning, Tokyo, Japan</w:t>
      </w:r>
      <w:r>
        <w:t xml:space="preserve"> </w:t>
      </w:r>
      <w:r>
        <w:rPr>
          <w:bCs/>
          <w:b/>
        </w:rPr>
        <w:t xml:space="preserve">Target length</w:t>
      </w:r>
      <w:r>
        <w:t xml:space="preserve">: 6 pages, ICEEL conference template</w:t>
      </w:r>
      <w:r>
        <w:t xml:space="preserve"> </w:t>
      </w:r>
      <w:r>
        <w:rPr>
          <w:bCs/>
          <w:b/>
        </w:rPr>
        <w:t xml:space="preserve">Manuscript draft</w:t>
      </w:r>
      <w:r>
        <w:t xml:space="preserve">: 2026-05-09 (numbers traceable to</w:t>
      </w:r>
      <w:r>
        <w:t xml:space="preserve"> </w:t>
      </w:r>
      <w:r>
        <w:rPr>
          <w:rStyle w:val="VerbatimChar"/>
        </w:rPr>
        <w:t xml:space="preserve">metaanalysis/conference_submissions/iceel/results/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The parent meta-analysis (Research Square preprint, DOI 10.21203/rs.3.rs-9513298/v1) reports a binary Region moderator with Extraversion × Region highly significant (Q_between = 46.43, p &lt; .001; Asian r = −0.131 vs non-Asian r = +0.050). The within-Asia heterogeneity is not decomposed in the preprint. The present paper attaches Hofstede 6-D scores and tests, in the Asian subset (k = 2 with extractable r: A-28 Yu, China; A-31 Rivers, Japan; plus A-25 Tokiwa, Japan, in narrative synthesis), whether observed Big Five — outcome direction in Japan studies matches Hofstede &amp; McCrae (2004) predictions for Japan. Pooled correlations replicate the preprint (C r = 0.111; E r = −0.131; N r = 0.089). The direction-match analysis (Table 4) yields</w:t>
      </w:r>
      <w:r>
        <w:t xml:space="preserve"> </w:t>
      </w:r>
      <w:r>
        <w:rPr>
          <w:bCs/>
          <w:b/>
        </w:rPr>
        <w:t xml:space="preserve">3 of 5 trait matches</w:t>
      </w:r>
      <w:r>
        <w:t xml:space="preserve">: C+ (HM04 PDI-C r = .43), E− (HM04 IDV-E r = .39), and most notably</w:t>
      </w:r>
      <w:r>
        <w:t xml:space="preserve"> </w:t>
      </w:r>
      <w:r>
        <w:rPr>
          <w:bCs/>
          <w:b/>
        </w:rPr>
        <w:t xml:space="preserve">N+</w:t>
      </w:r>
      <w:r>
        <w:t xml:space="preserve"> </w:t>
      </w:r>
      <w:r>
        <w:t xml:space="preserve">— opposite to the Western N− finding (Poropat 2009; Mammadov 2022) — supported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Japan studies and doubly predicted by Japan’s very high Uncertainty Avoidance (UAI = 92, HM04 r = .31) and Masculinity (MAS = 95, HM04 r = .30). The Agreeableness mismatch (predicted −, observed +) suggests online-learning</w:t>
      </w:r>
      <w:r>
        <w:t xml:space="preserve"> </w:t>
      </w:r>
      <w:r>
        <w:rPr>
          <w:iCs/>
          <w:i/>
        </w:rPr>
        <w:t xml:space="preserve">behaviour-level</w:t>
      </w:r>
      <w:r>
        <w:t xml:space="preserve"> </w:t>
      </w:r>
      <w:r>
        <w:t xml:space="preserve">A engagement may decouple from population trait-level A. A second-order finding is instrument heterogeneity (BFI-2-J vs TIPI-J) as a confound future Japan-specific syntheses cannot ignore.</w:t>
      </w:r>
    </w:p>
    <w:p>
      <w:pPr>
        <w:pStyle w:val="BodyText"/>
      </w:pPr>
      <w:r>
        <w:rPr>
          <w:bCs/>
          <w:b/>
        </w:rPr>
        <w:t xml:space="preserve">Keywords</w:t>
      </w:r>
      <w:r>
        <w:t xml:space="preserve">: meta-analysis, Big Five, online learning, Hofstede cultural dimensions, Japan.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Big Five – academic-achievement link is robust at the trait level (Poropat 2009; Mammadov 2022; Chen, Cheung, &amp; Zeng 2025) but is increasingly recognised as culturally conditional, with Mammadov flagging Asian samples as showing amplified Conscientiousness and sometimes inverted Extraversion. The parent preprint (Tokiwa, 2026, DOI 10.21203/rs.3.rs-9513298/v1) confirms a binary Asia / non-Asia contrast with Extraversion × Region the headline (Q_between = 46.43, p &lt; .001; Asian r = −0.131 vs non-Asian r = +0.050) but does not decompose the Asian bin into its country-level constituents — even though Japan, China, Korea, and Taiwan differ sharply on Hofstede Power Distance, UAI, MAS, and IND scores (Hofstede Insights 2024).</w:t>
      </w:r>
    </w:p>
    <w:p>
      <w:pPr>
        <w:pStyle w:val="BodyText"/>
      </w:pPr>
      <w:r>
        <w:t xml:space="preserve">This paper asks:</w:t>
      </w:r>
      <w:r>
        <w:t xml:space="preserve"> </w:t>
      </w:r>
      <w:r>
        <w:rPr>
          <w:bCs/>
          <w:b/>
        </w:rPr>
        <w:t xml:space="preserve">once you decompose the Asia bin, do Hofstede cultural dimensions predict 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direction</w:t>
      </w:r>
      <w:r>
        <w:rPr>
          <w:bCs/>
          <w:b/>
        </w:rPr>
        <w:t xml:space="preserve"> </w:t>
      </w:r>
      <w:r>
        <w:rPr>
          <w:bCs/>
          <w:b/>
        </w:rPr>
        <w:t xml:space="preserve">of Big Five – achievement correlations within Asia?</w:t>
      </w:r>
      <w:r>
        <w:t xml:space="preserve"> </w:t>
      </w:r>
      <w:r>
        <w:t xml:space="preserve">With only k = 2 Asian primary-pool studies contributing extractable r (A-28 Yu, China; A-31 Rivers, Japan), no inference is possible from the meta-regression. We therefore reframe the analysis as a Hofstede direction-prediction match against the two Japan-based studies (Tokiwa 2025 K-12, Rivers 2021 UG; Hofstede &amp; McCrae 2004 trait-dimension correlations as the prediction source). The headline finding is a 3-of-5 trait direction-match, with the Neuroticism positive direction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Japan studies opposite to the Western pattern and doubly predicted by Japan’s very high UAI and MAS.</w:t>
      </w:r>
    </w:p>
    <w:p>
      <w:r>
        <w:pict>
          <v:rect style="width:0;height:1.5pt" o:hralign="center" o:hrstd="t" o:hr="t"/>
        </w:pict>
      </w:r>
    </w:p>
    <w:bookmarkEnd w:id="21"/>
    <w:bookmarkStart w:id="25" w:name="related-work"/>
    <w:p>
      <w:pPr>
        <w:pStyle w:val="Heading2"/>
      </w:pPr>
      <w:r>
        <w:t xml:space="preserve">2. Related Work</w:t>
      </w:r>
    </w:p>
    <w:bookmarkStart w:id="22" w:name="X94e85d3f42ba2d3f3112a3ae1ee492e8b6e3b1c"/>
    <w:p>
      <w:pPr>
        <w:pStyle w:val="Heading3"/>
      </w:pPr>
      <w:r>
        <w:t xml:space="preserve">2.1. Hofstede’s framework, Big Five linkages, and educational implications</w:t>
      </w:r>
    </w:p>
    <w:p>
      <w:pPr>
        <w:pStyle w:val="FirstParagraph"/>
      </w:pPr>
      <w:r>
        <w:t xml:space="preserve">Hofstede’s (2001) 2nd-edition model operationalises national culture in 6 dimensions — Power Distance (PDI), Individualism (IDV), Masculinity (MAS), Uncertainty Avoidance (UAI), Long-Term Orientation (LTO), Indulgence (IND); latest scores from Hofstede Insights (2024). Critiques (Minkov &amp; Hofstede, 2014; McSweeney, 2002) for ecological-fallacy risk and for the 1970s IBM-sample provenance are acknowledged: we use the dimensions as country-level proxies for shared cultural orientation, not as individual-level claims.</w:t>
      </w:r>
    </w:p>
    <w:p>
      <w:pPr>
        <w:pStyle w:val="BodyText"/>
      </w:pPr>
      <w:r>
        <w:rPr>
          <w:bCs/>
          <w:b/>
        </w:rPr>
        <w:t xml:space="preserve">Big Five × Hofstede linkages.</w:t>
      </w:r>
      <w:r>
        <w:t xml:space="preserve"> </w:t>
      </w:r>
      <w:r>
        <w:t xml:space="preserve">Hofstede &amp; McCrae (2004) report country-level correlations between aggregate NEO-PI-R Big Five trait means and Hofstede dimensions. Correlations relevant to the Asian subset (HM04 Table 4): UAI × N</w:t>
      </w:r>
      <w:r>
        <w:t xml:space="preserve"> </w:t>
      </w:r>
      <w:r>
        <w:rPr>
          <w:bCs/>
          <w:b/>
        </w:rPr>
        <w:t xml:space="preserve">r = +.31</w:t>
      </w:r>
      <w:r>
        <w:t xml:space="preserve">; UAI × A</w:t>
      </w:r>
      <w:r>
        <w:t xml:space="preserve"> </w:t>
      </w:r>
      <w:r>
        <w:rPr>
          <w:bCs/>
          <w:b/>
        </w:rPr>
        <w:t xml:space="preserve">r = −.45</w:t>
      </w:r>
      <w:r>
        <w:t xml:space="preserve">; PDI × C</w:t>
      </w:r>
      <w:r>
        <w:t xml:space="preserve"> </w:t>
      </w:r>
      <w:r>
        <w:rPr>
          <w:bCs/>
          <w:b/>
        </w:rPr>
        <w:t xml:space="preserve">r = +.43</w:t>
      </w:r>
      <w:r>
        <w:t xml:space="preserve">; PDI × E</w:t>
      </w:r>
      <w:r>
        <w:t xml:space="preserve"> </w:t>
      </w:r>
      <w:r>
        <w:rPr>
          <w:bCs/>
          <w:b/>
        </w:rPr>
        <w:t xml:space="preserve">r = −.31</w:t>
      </w:r>
      <w:r>
        <w:t xml:space="preserve">; IDV × E</w:t>
      </w:r>
      <w:r>
        <w:t xml:space="preserve"> </w:t>
      </w:r>
      <w:r>
        <w:rPr>
          <w:bCs/>
          <w:b/>
        </w:rPr>
        <w:t xml:space="preserve">r = +.39</w:t>
      </w:r>
      <w:r>
        <w:t xml:space="preserve">; MAS × N</w:t>
      </w:r>
      <w:r>
        <w:t xml:space="preserve"> </w:t>
      </w:r>
      <w:r>
        <w:rPr>
          <w:bCs/>
          <w:b/>
        </w:rPr>
        <w:t xml:space="preserve">r = +.30</w:t>
      </w:r>
      <w:r>
        <w:t xml:space="preserve">; MAS × O</w:t>
      </w:r>
      <w:r>
        <w:t xml:space="preserve"> </w:t>
      </w:r>
      <w:r>
        <w:rPr>
          <w:bCs/>
          <w:b/>
        </w:rPr>
        <w:t xml:space="preserve">r = +.37</w:t>
      </w:r>
      <w:r>
        <w:t xml:space="preserve">. Hofstede (1986), applying the 4-D model directly to education, characterises strong-UAI societies as ones in which</w:t>
      </w:r>
      <w:r>
        <w:t xml:space="preserve"> </w:t>
      </w:r>
      <w:r>
        <w:t xml:space="preserve">“</w:t>
      </w:r>
      <w:r>
        <w:t xml:space="preserve">students prefer structured learning situations … rewarded for accuracy in problem solving</w:t>
      </w:r>
      <w:r>
        <w:t xml:space="preserve">”</w:t>
      </w:r>
      <w:r>
        <w:t xml:space="preserve">, and where students</w:t>
      </w:r>
      <w:r>
        <w:t xml:space="preserve"> </w:t>
      </w:r>
      <w:r>
        <w:t xml:space="preserve">“</w:t>
      </w:r>
      <w:r>
        <w:t xml:space="preserve">are allowed to behave emotionally</w:t>
      </w:r>
      <w:r>
        <w:t xml:space="preserve">”</w:t>
      </w:r>
      <w:r>
        <w:t xml:space="preserve"> </w:t>
      </w:r>
      <w:r>
        <w:t xml:space="preserve">— sketching a plausible mechanism by which trait Neuroticism (anxiety, sensitivity) may</w:t>
      </w:r>
      <w:r>
        <w:t xml:space="preserve"> </w:t>
      </w:r>
      <w:r>
        <w:rPr>
          <w:iCs/>
          <w:i/>
        </w:rPr>
        <w:t xml:space="preserve">promote</w:t>
      </w:r>
      <w:r>
        <w:t xml:space="preserve"> </w:t>
      </w:r>
      <w:r>
        <w:t xml:space="preserve">academic engagement in high-UAI contexts. Schmitt et al. (2007) place Japan’s trait N mean at 57.87, near the top of 56 nations; Allik &amp; McCrae (2004) further note that Japan does not cluster cleanly with other East Asian samples in their 36-culture geography. Together these undermine the</w:t>
      </w:r>
      <w:r>
        <w:t xml:space="preserve"> </w:t>
      </w:r>
      <w:r>
        <w:t xml:space="preserve">“</w:t>
      </w:r>
      <w:r>
        <w:t xml:space="preserve">Asia</w:t>
      </w:r>
      <w:r>
        <w:t xml:space="preserve">”</w:t>
      </w:r>
      <w:r>
        <w:t xml:space="preserve"> </w:t>
      </w:r>
      <w:r>
        <w:t xml:space="preserve">moderator level as a substitute for country-specific analysis.</w:t>
      </w:r>
    </w:p>
    <w:p>
      <w:pPr>
        <w:pStyle w:val="BodyText"/>
      </w:pPr>
      <w:r>
        <w:t xml:space="preserve">Japan’s profile (PDI = 54, IDV = 46, MAS = 95, UAI = 92) yields HM04-derived direction predictions tabulated in §4.4 (Table 4). The N+ prediction is particularly diagnostic because it is</w:t>
      </w:r>
      <w:r>
        <w:t xml:space="preserve"> </w:t>
      </w:r>
      <w:r>
        <w:rPr>
          <w:bCs/>
          <w:b/>
        </w:rPr>
        <w:t xml:space="preserve">opposite</w:t>
      </w:r>
      <w:r>
        <w:t xml:space="preserve"> </w:t>
      </w:r>
      <w:r>
        <w:t xml:space="preserve">to the consistent N− pattern in Western Big Five – achievement meta-analyses (Poropat, 2009; Mammadov, 2022).</w:t>
      </w:r>
    </w:p>
    <w:bookmarkEnd w:id="22"/>
    <w:bookmarkStart w:id="23" w:name="X79f940698aa2ce669295811081f02aaba4d0287"/>
    <w:p>
      <w:pPr>
        <w:pStyle w:val="Heading3"/>
      </w:pPr>
      <w:r>
        <w:t xml:space="preserve">2.2. East Asian samples in personality — academic-achievement research</w:t>
      </w:r>
    </w:p>
    <w:p>
      <w:pPr>
        <w:pStyle w:val="FirstParagraph"/>
      </w:pPr>
      <w:r>
        <w:t xml:space="preserve">Reviews specific to East Asian samples (Chen et al. 2025; Mammadov 2022) report two recurring patterns: (i) Conscientiousness is at least as strong a predictor of achievement as in Western samples, often slightly stronger in collectivist sub-populations; and (ii) Extraversion’s role is attenuated or reversed in collectivist contexts where individual social initiative is valued less highly. The preprint’s Asian subset findings (E r = -0.131; C r = +0.111) are consistent with this pattern.</w:t>
      </w:r>
    </w:p>
    <w:bookmarkEnd w:id="23"/>
    <w:bookmarkStart w:id="24" w:name="japanese-online-learning-context"/>
    <w:p>
      <w:pPr>
        <w:pStyle w:val="Heading3"/>
      </w:pPr>
      <w:r>
        <w:t xml:space="preserve">2.3. Japanese online learning context</w:t>
      </w:r>
    </w:p>
    <w:p>
      <w:pPr>
        <w:pStyle w:val="FirstParagraph"/>
      </w:pPr>
      <w:r>
        <w:t xml:space="preserve">Japan-specific online-learning research is dominated by two patterns. First, the use of the</w:t>
      </w:r>
      <w:r>
        <w:t xml:space="preserve"> </w:t>
      </w:r>
      <w:r>
        <w:rPr>
          <w:iCs/>
          <w:i/>
        </w:rPr>
        <w:t xml:space="preserve">StudySapuri</w:t>
      </w:r>
      <w:r>
        <w:t xml:space="preserve"> </w:t>
      </w:r>
      <w:r>
        <w:t xml:space="preserve">commercial LMS by K-12 cohorts (asynchronous, self-paced video lectures plus practice problems) — A-25 Tokiwa (2025) is one such cohort. Second, the use of</w:t>
      </w:r>
      <w:r>
        <w:t xml:space="preserve"> </w:t>
      </w:r>
      <w:r>
        <w:rPr>
          <w:iCs/>
          <w:i/>
        </w:rPr>
        <w:t xml:space="preserve">Moodle</w:t>
      </w:r>
      <w:r>
        <w:t xml:space="preserve"> </w:t>
      </w:r>
      <w:r>
        <w:t xml:space="preserve">in undergraduate language education (asynchronous LMS-paced reading and writing assignments) — A-31 Rivers (2021) is the example here. Both studies use asynchronous formats, but their personality instruments (60-item BFI-2-J vs 10-item TIPI-J) differ by an order of magnitude in measurement granularity, which is a major between-study confound that the present synthesis surfaces.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method"/>
    <w:p>
      <w:pPr>
        <w:pStyle w:val="Heading2"/>
      </w:pPr>
      <w:r>
        <w:t xml:space="preserve">3. Method</w:t>
      </w:r>
    </w:p>
    <w:bookmarkStart w:id="29" w:name="data"/>
    <w:p>
      <w:pPr>
        <w:pStyle w:val="Heading3"/>
      </w:pPr>
      <w:r>
        <w:t xml:space="preserve">3.1. Data</w:t>
      </w:r>
    </w:p>
    <w:p>
      <w:pPr>
        <w:pStyle w:val="FirstParagraph"/>
      </w:pPr>
      <w:r>
        <w:t xml:space="preserve">The corpus is inherited from the parent preprint via the derived studies dataset</w:t>
      </w:r>
      <w:r>
        <w:t xml:space="preserve"> </w:t>
      </w:r>
      <w:r>
        <w:rPr>
          <w:rStyle w:val="VerbatimChar"/>
        </w:rPr>
        <w:t xml:space="preserve">metaanalysis/conference_submissions/inputs/studies.csv</w:t>
      </w:r>
      <w:r>
        <w:t xml:space="preserve">. PRISMA 2020 standards (Page et al., 2021) were followed;</w:t>
      </w:r>
      <w:r>
        <w:t xml:space="preserve"> </w:t>
      </w:r>
      <w:r>
        <w:rPr>
          <w:bCs/>
          <w:b/>
        </w:rPr>
        <w:t xml:space="preserve">Figure 1</w:t>
      </w:r>
      <w:r>
        <w:t xml:space="preserve"> </w:t>
      </w:r>
      <w:r>
        <w:t xml:space="preserve">reproduces the flow diagram with the ICEEL terminal box marking the Asian-subset extraction (k = 2 with extractable r per trait; A-25 Tokiwa Japan retained for qualitative synthesis only). The Asian subset is extracted by</w:t>
      </w:r>
      <w:r>
        <w:t xml:space="preserve"> </w:t>
      </w:r>
      <w:r>
        <w:rPr>
          <w:rStyle w:val="VerbatimChar"/>
        </w:rPr>
        <w:t xml:space="preserve">region == "Asia"</w:t>
      </w:r>
      <w:r>
        <w:t xml:space="preserve">. After requiring extractable Pearson r per trait, k = 2 Asian primary-pool studies remain: A-28 Yu (China; β-converted r) and A-31 Rivers (Japan; direct r). Two further Asian primary-pool studies (A-25 Tokiwa, A-26 Wang) are present in the qualitative synthesis but do not contribute extractable r values.</w:t>
      </w:r>
    </w:p>
    <w:p>
      <w:pPr>
        <w:pStyle w:val="CaptionedFigure"/>
      </w:pPr>
      <w:r>
        <w:drawing>
          <wp:inline>
            <wp:extent cx="4533900" cy="5658766"/>
            <wp:effectExtent b="0" l="0" r="0" t="0"/>
            <wp:docPr descr="Figure 1. PRISMA 2020 flow diagram (ICEEL 2026 submission). Identification → Screening → Eligibility → Included counts trace from metaanalysis/search_log.md; the ICEEL terminal box marks the Asian primary-pool subset (k = 2 with extractable r per trait: A-28 Yu, China; A-31 Rivers, Japan; plus A-25 Tokiwa Japan in narrative synthesis). Adapted from Page et al. (2021), BMJ, 372, n71." title="" id="27" name="Picture"/>
            <a:graphic>
              <a:graphicData uri="http://schemas.openxmlformats.org/drawingml/2006/picture">
                <pic:pic>
                  <pic:nvPicPr>
                    <pic:cNvPr descr="../figures/prisma_flow_icee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5658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PRISMA 2020 flow diagram (ICEEL 2026 submission). Identification → Screening → Eligibility → Included counts trace from</w:t>
      </w:r>
      <w:r>
        <w:t xml:space="preserve"> </w:t>
      </w:r>
      <w:r>
        <w:rPr>
          <w:rStyle w:val="VerbatimChar"/>
        </w:rPr>
        <w:t xml:space="preserve">metaanalysis/search_log.md</w:t>
      </w:r>
      <w:r>
        <w:t xml:space="preserve">; the ICEEL terminal box marks the Asian primary-pool subset (k = 2 with extractable r per trait: A-28 Yu, China; A-31 Rivers, Japan; plus A-25 Tokiwa Japan in narrative synthesis). Adapted from Page et al. (2021),</w:t>
      </w:r>
      <w:r>
        <w:t xml:space="preserve"> </w:t>
      </w:r>
      <w:r>
        <w:rPr>
          <w:iCs/>
          <w:i/>
        </w:rPr>
        <w:t xml:space="preserve">BMJ</w:t>
      </w:r>
      <w:r>
        <w:t xml:space="preserve">, 372, n71.</w:t>
      </w:r>
    </w:p>
    <w:bookmarkEnd w:id="29"/>
    <w:bookmarkStart w:id="30" w:name="hofstede-cultural-dimensions-table"/>
    <w:p>
      <w:pPr>
        <w:pStyle w:val="Heading3"/>
      </w:pPr>
      <w:r>
        <w:t xml:space="preserve">3.2. Hofstede cultural-dimensions table</w:t>
      </w:r>
    </w:p>
    <w:p>
      <w:pPr>
        <w:pStyle w:val="FirstParagraph"/>
      </w:pPr>
      <w:r>
        <w:t xml:space="preserve">Country-level Hofstede 6-D scores are encoded inline in the analysis script (</w:t>
      </w:r>
      <w:r>
        <w:rPr>
          <w:rStyle w:val="VerbatimChar"/>
        </w:rPr>
        <w:t xml:space="preserve">metaanalysis/conference_submissions/iceel/scripts/run_hofstede_meta.py</w:t>
      </w:r>
      <w:r>
        <w:t xml:space="preserve">) using the canonical Hofstede Insights values. For the Asian primary-pool countries: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Japan</w:t>
      </w:r>
      <w:r>
        <w:t xml:space="preserve">: PDI = 54, IDV = 46, MAS = 95, UAI = 92, LTO = 88, IND = 42.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China</w:t>
      </w:r>
      <w:r>
        <w:t xml:space="preserve">: PDI = 80, IDV = 20, MAS = 66, UAI = 30, LTO = 87, IND = 24.</w:t>
      </w:r>
    </w:p>
    <w:p>
      <w:pPr>
        <w:pStyle w:val="FirstParagraph"/>
      </w:pPr>
      <w:r>
        <w:t xml:space="preserve">These two countries differ most sharply on Individualism (Japan +26), Power Distance (China +26), Masculinity (Japan +29), Uncertainty Avoidance (Japan +62), and Indulgence (Japan +18), with similar Long-Term Orientation.</w:t>
      </w:r>
    </w:p>
    <w:bookmarkEnd w:id="30"/>
    <w:bookmarkStart w:id="32" w:name="statistical-model"/>
    <w:p>
      <w:pPr>
        <w:pStyle w:val="Heading3"/>
      </w:pPr>
      <w:r>
        <w:t xml:space="preserve">3.3. Statistical model</w:t>
      </w:r>
    </w:p>
    <w:p>
      <w:pPr>
        <w:pStyle w:val="FirstParagraph"/>
      </w:pPr>
      <w:r>
        <w:t xml:space="preserve">Per trait, REML + HKSJ pooled r is computed on the k = 2 Asian primary-pool studies (back-transformed 95 % CI reported). For each (trait, dimension) pair, a 2-parameter weighted-OLS Hofstede meta-regression is fit (weights = 1 / (v + τ²), τ² from REML). Because k = 2, residual df = 0; slopes are computable but no SE / t / p estimable, so slopes are reported as</w:t>
      </w:r>
      <w:r>
        <w:t xml:space="preserve"> </w:t>
      </w:r>
      <w:r>
        <w:rPr>
          <w:bCs/>
          <w:b/>
        </w:rPr>
        <w:t xml:space="preserve">descriptive only</w:t>
      </w:r>
      <w:r>
        <w:t xml:space="preserve">.</w:t>
      </w:r>
    </w:p>
    <w:bookmarkStart w:id="31" w:name="japan-synthesis"/>
    <w:p>
      <w:pPr>
        <w:pStyle w:val="Heading4"/>
      </w:pPr>
      <w:r>
        <w:t xml:space="preserve">3.3.3. Japan synthesis</w:t>
      </w:r>
    </w:p>
    <w:p>
      <w:pPr>
        <w:pStyle w:val="FirstParagraph"/>
      </w:pPr>
      <w:r>
        <w:t xml:space="preserve">The two Japan primary-pool studies are tabulated side-by-side on N, modality, education level, instrument, and per-trait r (where available). The narrative discussion is the analytic vehicle; no formal pooling is attempted at k = 2.</w:t>
      </w:r>
    </w:p>
    <w:bookmarkEnd w:id="31"/>
    <w:bookmarkEnd w:id="32"/>
    <w:bookmarkStart w:id="33" w:name="reproducibility"/>
    <w:p>
      <w:pPr>
        <w:pStyle w:val="Heading3"/>
      </w:pPr>
      <w:r>
        <w:t xml:space="preserve">3.4. Reproducibility</w:t>
      </w:r>
    </w:p>
    <w:p>
      <w:pPr>
        <w:pStyle w:val="FirstParagraph"/>
      </w:pPr>
      <w:r>
        <w:t xml:space="preserve">All numerical results are produced by</w:t>
      </w:r>
      <w:r>
        <w:t xml:space="preserve"> </w:t>
      </w:r>
      <w:r>
        <w:rPr>
          <w:rStyle w:val="VerbatimChar"/>
        </w:rPr>
        <w:t xml:space="preserve">metaanalysis/conference_submissions/iceel/scripts/run_hofstede_meta.py</w:t>
      </w:r>
      <w:r>
        <w:t xml:space="preserve">. Pooling primitives (Fisher z, var z, REML tau-squared, HKSJ-adjusted CI) are imported from</w:t>
      </w:r>
      <w:r>
        <w:t xml:space="preserve"> </w:t>
      </w:r>
      <w:r>
        <w:rPr>
          <w:rStyle w:val="VerbatimChar"/>
        </w:rPr>
        <w:t xml:space="preserve">metaanalysis/analysis/pool.py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results"/>
    <w:p>
      <w:pPr>
        <w:pStyle w:val="Heading2"/>
      </w:pPr>
      <w:r>
        <w:t xml:space="preserve">4. Results</w:t>
      </w:r>
    </w:p>
    <w:bookmarkStart w:id="35" w:name="asian-subset-pooled-correlations"/>
    <w:p>
      <w:pPr>
        <w:pStyle w:val="Heading3"/>
      </w:pPr>
      <w:r>
        <w:t xml:space="preserve">4.1. Asian-subset pooled correlations</w:t>
      </w:r>
    </w:p>
    <w:p>
      <w:pPr>
        <w:pStyle w:val="FirstParagraph"/>
      </w:pPr>
      <w:r>
        <w:t xml:space="preserve">Table 1 reports the per-trait pooled correlations on the Asian primary-pool subset.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rPr>
          <w:iCs/>
          <w:i/>
        </w:rPr>
        <w:t xml:space="preserve">Asian-subset random-effects pooled correlations (REML + HKSJ; k = 2 per trait; A-28 Yu China; A-31 Rivers Japan).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(pooled)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[95 % CI]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I-squared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0.164 [-0.989, 0.994]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 [-0.039, 0.257]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-0.131 [-0.314, 0.061]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0.330 [-0.981, 0.995]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 [0.008, 0.169]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0.0 %</w:t>
            </w:r>
          </w:p>
        </w:tc>
      </w:tr>
    </w:tbl>
    <w:p>
      <w:pPr>
        <w:pStyle w:val="BodyText"/>
      </w:pPr>
      <w:r>
        <w:t xml:space="preserve">C, E, and N pools have I² = 0 (the two studies agree closely in z-space); O and A pools have I² = 96 % driven by sharply different point estimates. These numbers replicate the preprint Region: Asia row exactly.</w:t>
      </w:r>
    </w:p>
    <w:bookmarkEnd w:id="35"/>
    <w:bookmarkStart w:id="36" w:name="X83cc73ce7fbeab0c47ffadccec59241be079c78"/>
    <w:p>
      <w:pPr>
        <w:pStyle w:val="Heading3"/>
      </w:pPr>
      <w:r>
        <w:t xml:space="preserve">4.2. Hofstede single-dimension meta-regression</w:t>
      </w:r>
    </w:p>
    <w:p>
      <w:pPr>
        <w:pStyle w:val="FirstParagraph"/>
      </w:pPr>
      <w:r>
        <w:t xml:space="preserve">Table 2 reports the per-trait per-dimension slope estimates. With df_resid = 0 the inferential columns (SE, t, p) are not estimable; only the slope is reported.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rPr>
          <w:iCs/>
          <w:i/>
        </w:rPr>
        <w:t xml:space="preserve">Hofstede single-dimension meta-regression slopes, descriptive only (k = 2; df_resid = 0).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(Fisher z per unit)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</w:tbl>
    <w:p>
      <w:pPr>
        <w:pStyle w:val="BodyText"/>
      </w:pPr>
      <w:r>
        <w:t xml:space="preserve">(Selected rows; full table in</w:t>
      </w:r>
      <w:r>
        <w:t xml:space="preserve"> </w:t>
      </w:r>
      <w:r>
        <w:rPr>
          <w:rStyle w:val="VerbatimChar"/>
        </w:rPr>
        <w:t xml:space="preserve">results/hofstede_meta_regression.csv</w:t>
      </w:r>
      <w:r>
        <w:t xml:space="preserve">. PDI vs IDV slopes are mirror images because Japan and China differ on these in opposite directions; LTO is exception-near-zero because the two countries’ LTO scores happen to be very close.)</w:t>
      </w:r>
    </w:p>
    <w:p>
      <w:pPr>
        <w:pStyle w:val="BodyText"/>
      </w:pPr>
      <w:r>
        <w:t xml:space="preserve">The pattern that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emerge is consistent with the directional theoretical expectation: higher Individualism (lower Collectivism) is associated with more</w:t>
      </w:r>
      <w:r>
        <w:t xml:space="preserve"> </w:t>
      </w:r>
      <w:r>
        <w:rPr>
          <w:iCs/>
          <w:i/>
        </w:rPr>
        <w:t xml:space="preserve">positive</w:t>
      </w:r>
      <w:r>
        <w:t xml:space="preserve"> </w:t>
      </w:r>
      <w:r>
        <w:t xml:space="preserve">Extraversion — achievement correlations, since Extraversion-as-asset is tied to individualistic affordances. But with df_resid = 0 these slopes carry no inferential weight; they are visualisations of the two-country contrast, not statistical tests.</w:t>
      </w:r>
    </w:p>
    <w:bookmarkEnd w:id="36"/>
    <w:bookmarkStart w:id="37" w:name="japan-synthesis-1"/>
    <w:p>
      <w:pPr>
        <w:pStyle w:val="Heading3"/>
      </w:pPr>
      <w:r>
        <w:t xml:space="preserve">4.3. Japan synthesis</w:t>
      </w:r>
    </w:p>
    <w:p>
      <w:pPr>
        <w:pStyle w:val="FirstParagraph"/>
      </w:pPr>
      <w:r>
        <w:t xml:space="preserve">Table 3 compares the two Japan-based primary-pool studies side-by-side.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rPr>
          <w:iCs/>
          <w:i/>
        </w:rPr>
        <w:t xml:space="preserve">Japan-based primary-pool studies, narrative comparison.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79"/>
        <w:gridCol w:w="3370"/>
        <w:gridCol w:w="33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A-25 Tokiwa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A-31 Rivers (2021)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(analytic)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K-12 (Year 3 high school)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(StudySapuri LMS)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(Moodle)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BFI-2-J (60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TIPI-J (10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completion + mastery (Spearman 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 grade (Pearson 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 extractable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ρ = +0.30 to +0.35 (Tokiwa Table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(Assertiveness +0.26; Sociability 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ρ = +0.27 to +0.29 (Lectures Watched)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ρ = +0.24 to +0.29 (Anxiety subscale → Lectures Watched)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+0.107</w:t>
            </w:r>
          </w:p>
        </w:tc>
      </w:tr>
    </w:tbl>
    <w:p>
      <w:pPr>
        <w:pStyle w:val="BodyText"/>
      </w:pPr>
      <w:r>
        <w:t xml:space="preserve">A-25 Tokiwa’s correlations are reported as Spearman ρ against StudySapuri usage outcomes (Tokiwa 2025, Tables 3 + body text); they did not survive the meta-analysis extraction protocol (which required Pearson r against achievement, not Spearman against engagement) but are included here as the original-publication descriptive comparator. A-31 Rivers’s r values are extractable Pearson correlations against course grade and contribute to the meta-analysis pool.</w:t>
      </w:r>
    </w:p>
    <w:p>
      <w:pPr>
        <w:pStyle w:val="BodyText"/>
      </w:pPr>
      <w:r>
        <w:t xml:space="preserve">The instrument-heterogeneity contrast is striking: A-25 uses the 60-item BFI-2-J (~12 items per trait, alphas .80 – .96); A-31 uses the 10-item TIPI-J (2 items per trait, alphas constrained by definition to .50 – .60 for most traits). The per-trait reliability difference alone could account for substantial measurement-noise heterogeneity even before any cultural-context interaction is considered.</w:t>
      </w:r>
    </w:p>
    <w:bookmarkEnd w:id="37"/>
    <w:bookmarkStart w:id="38" w:name="Xf1a03a57ab29ce52bfd4b8ef616cb113d1ab5d6"/>
    <w:p>
      <w:pPr>
        <w:pStyle w:val="Heading3"/>
      </w:pPr>
      <w:r>
        <w:t xml:space="preserve">4.4. Hofstede direction-prediction match in Japan studies</w:t>
      </w:r>
    </w:p>
    <w:p>
      <w:pPr>
        <w:pStyle w:val="FirstParagraph"/>
      </w:pPr>
      <w:r>
        <w:t xml:space="preserve">Table 4 cross-references HM04-derived direction predictions for Japan with observed Big Five – outcome direction in the two Japan studies. Direction is coded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if observed magnitude ≥ +0.05,</w:t>
      </w:r>
      <w:r>
        <w:t xml:space="preserve"> </w:t>
      </w:r>
      <w:r>
        <w:rPr>
          <w:rStyle w:val="VerbatimChar"/>
        </w:rPr>
        <w:t xml:space="preserve">−</w:t>
      </w:r>
      <w:r>
        <w:t xml:space="preserve"> </w:t>
      </w:r>
      <w:r>
        <w:t xml:space="preserve">if ≤ −0.05,</w:t>
      </w:r>
      <w:r>
        <w:t xml:space="preserve"> </w:t>
      </w:r>
      <w:r>
        <w:rPr>
          <w:rStyle w:val="VerbatimChar"/>
        </w:rPr>
        <w:t xml:space="preserve">flat</w:t>
      </w:r>
      <w:r>
        <w:t xml:space="preserve"> </w:t>
      </w:r>
      <w:r>
        <w:t xml:space="preserve">otherwise; A-25 Tokiwa’s direction is the dominant-pattern Spearman ρ against StudySapuri outcomes.</w:t>
      </w:r>
    </w:p>
    <w:p>
      <w:pPr>
        <w:pStyle w:val="BodyText"/>
      </w:pPr>
      <w:r>
        <w:rPr>
          <w:bCs/>
          <w:b/>
        </w:rPr>
        <w:t xml:space="preserve">Table 4.</w:t>
      </w:r>
      <w:r>
        <w:t xml:space="preserve"> </w:t>
      </w:r>
      <w:r>
        <w:rPr>
          <w:iCs/>
          <w:i/>
        </w:rPr>
        <w:t xml:space="preserve">Hofstede-predicted vs observed direction in Japan-based studies.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HM04 prediction (Japan)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Tokiwa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 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(.30–.35)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IDV 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 (−.17)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UAI .31 + MAS .30 (double)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(.24–.29)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UAI −.45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(.27–.29)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(.12)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(weak)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 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 (−.07)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3 of 5 traits (C, E, N) match.</w:t>
      </w:r>
      <w:r>
        <w:t xml:space="preserve"> </w:t>
      </w:r>
      <w:r>
        <w:t xml:space="preserve">The Neuroticism+ match is the headline: opposite to the Western N− pattern (Poropat 2009; Mammadov 2022), supported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Japan studies, and doubly predicted via UAI and MAS. The A mismatch (predicted −, observed +) is informative rather than refuting: it suggests online-learning</w:t>
      </w:r>
      <w:r>
        <w:t xml:space="preserve"> </w:t>
      </w:r>
      <w:r>
        <w:rPr>
          <w:iCs/>
          <w:i/>
        </w:rPr>
        <w:t xml:space="preserve">behaviour-level</w:t>
      </w:r>
      <w:r>
        <w:t xml:space="preserve"> </w:t>
      </w:r>
      <w:r>
        <w:t xml:space="preserve">A engagement may decouple from population trait-level A in collectivist contexts — a hypothesis future cross-cultural syntheses can test directly.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discussion"/>
    <w:p>
      <w:pPr>
        <w:pStyle w:val="Heading2"/>
      </w:pPr>
      <w:r>
        <w:t xml:space="preserve">5. Discussion</w:t>
      </w:r>
    </w:p>
    <w:bookmarkStart w:id="40" w:name="the-within-asia-evidence-problem"/>
    <w:p>
      <w:pPr>
        <w:pStyle w:val="Heading3"/>
      </w:pPr>
      <w:r>
        <w:t xml:space="preserve">5.1. The within-Asia evidence problem</w:t>
      </w:r>
    </w:p>
    <w:p>
      <w:pPr>
        <w:pStyle w:val="FirstParagraph"/>
      </w:pPr>
      <w:r>
        <w:t xml:space="preserve">The headline finding of this paper is</w:t>
      </w:r>
      <w:r>
        <w:t xml:space="preserve"> </w:t>
      </w:r>
      <w:r>
        <w:rPr>
          <w:bCs/>
          <w:b/>
        </w:rPr>
        <w:t xml:space="preserve">structural</w:t>
      </w:r>
      <w:r>
        <w:t xml:space="preserve">: the binary Asia/non-Asia contrast in the parent preprint, while statistically significant for Extraversion, is supported by a</w:t>
      </w:r>
      <w:r>
        <w:t xml:space="preserve"> </w:t>
      </w:r>
      <w:r>
        <w:rPr>
          <w:iCs/>
          <w:i/>
        </w:rPr>
        <w:t xml:space="preserve">very thin</w:t>
      </w:r>
      <w:r>
        <w:t xml:space="preserve"> </w:t>
      </w:r>
      <w:r>
        <w:t xml:space="preserve">Asian primary pool (k = 2 with extractable r). This is not a critique of the preprint — its k constraints are entirely transparent — but a reminder that</w:t>
      </w:r>
      <w:r>
        <w:t xml:space="preserve"> </w:t>
      </w:r>
      <w:r>
        <w:t xml:space="preserve">“</w:t>
      </w:r>
      <w:r>
        <w:t xml:space="preserve">Asia</w:t>
      </w:r>
      <w:r>
        <w:t xml:space="preserve">”</w:t>
      </w:r>
      <w:r>
        <w:t xml:space="preserve"> </w:t>
      </w:r>
      <w:r>
        <w:t xml:space="preserve">as a moderator level is doing more work than k = 2 can sustain. The interpretation</w:t>
      </w:r>
      <w:r>
        <w:t xml:space="preserve"> </w:t>
      </w:r>
      <w:r>
        <w:t xml:space="preserve">“</w:t>
      </w:r>
      <w:r>
        <w:t xml:space="preserve">Extraversion is more negative in Asia</w:t>
      </w:r>
      <w:r>
        <w:t xml:space="preserve">”</w:t>
      </w:r>
      <w:r>
        <w:t xml:space="preserve"> </w:t>
      </w:r>
      <w:r>
        <w:t xml:space="preserve">is best read as</w:t>
      </w:r>
      <w:r>
        <w:t xml:space="preserve"> </w:t>
      </w:r>
      <w:r>
        <w:t xml:space="preserve">“</w:t>
      </w:r>
      <w:r>
        <w:t xml:space="preserve">Extraversion is more negative in our two Asian sample-points than in our seven non-Asian sample-points</w:t>
      </w:r>
      <w:r>
        <w:t xml:space="preserve">”</w:t>
      </w:r>
      <w:r>
        <w:t xml:space="preserve">, and the fact that the two Asian points happen to be from different countries (China, Japan) is a confound that no current corpus can resolve.</w:t>
      </w:r>
    </w:p>
    <w:bookmarkEnd w:id="40"/>
    <w:bookmarkStart w:id="41" w:name="hofstede-slopes-as-direction-finders"/>
    <w:p>
      <w:pPr>
        <w:pStyle w:val="Heading3"/>
      </w:pPr>
      <w:r>
        <w:t xml:space="preserve">5.2. Hofstede slopes as direction-finders</w:t>
      </w:r>
    </w:p>
    <w:p>
      <w:pPr>
        <w:pStyle w:val="FirstParagraph"/>
      </w:pPr>
      <w:r>
        <w:t xml:space="preserve">Even at k = 2, the slope signs in Table 2 are interpretable as</w:t>
      </w:r>
      <w:r>
        <w:t xml:space="preserve"> </w:t>
      </w:r>
      <w:r>
        <w:rPr>
          <w:iCs/>
          <w:i/>
        </w:rPr>
        <w:t xml:space="preserve">directional indicators</w:t>
      </w:r>
      <w:r>
        <w:t xml:space="preserve"> </w:t>
      </w:r>
      <w:r>
        <w:t xml:space="preserve">rather than tests. The Extraversion slope on Individualism is small but consistent with theoretical prediction (+ slope = more positive Extraversion in more individualistic contexts; the two Asian countries differ by IDV = 26 points). The Conscientiousness slope on Long-Term Orientation is small and positive (+0.0376), which is consistent with cultural amplification of self-regulation in long-term-oriented societies — but at k = 2 this could reflect any number of alternative explanations (instrument differences, education-level differences, era differences).</w:t>
      </w:r>
    </w:p>
    <w:bookmarkEnd w:id="41"/>
    <w:bookmarkStart w:id="42" w:name="the-japan-instrument-problem"/>
    <w:p>
      <w:pPr>
        <w:pStyle w:val="Heading3"/>
      </w:pPr>
      <w:r>
        <w:t xml:space="preserve">5.3. The Japan instrument problem</w:t>
      </w:r>
    </w:p>
    <w:p>
      <w:pPr>
        <w:pStyle w:val="FirstParagraph"/>
      </w:pPr>
      <w:r>
        <w:t xml:space="preserve">The Japan synthesis’s strongest contribution is the surfacing of</w:t>
      </w:r>
      <w:r>
        <w:t xml:space="preserve"> </w:t>
      </w:r>
      <w:r>
        <w:rPr>
          <w:bCs/>
          <w:b/>
        </w:rPr>
        <w:t xml:space="preserve">instrument heterogeneity</w:t>
      </w:r>
      <w:r>
        <w:t xml:space="preserve"> </w:t>
      </w:r>
      <w:r>
        <w:t xml:space="preserve">as a major confound. Two Japan-based primary-pool studies, both asynchronous, both with ~100 — 150 students, but with personality measures differing by a factor of 6 in number of items. Future syntheses that aim to make Japan-specific claims should require either (a) standardised instrument families across studies or (b) explicit instrument-level moderator analyses. The current corpus does neither.</w:t>
      </w:r>
    </w:p>
    <w:bookmarkEnd w:id="42"/>
    <w:bookmarkStart w:id="43" w:name="the-hofstede-direction-match-in-japan"/>
    <w:p>
      <w:pPr>
        <w:pStyle w:val="Heading3"/>
      </w:pPr>
      <w:r>
        <w:t xml:space="preserve">5.4. The Hofstede direction-match in Japan</w:t>
      </w:r>
    </w:p>
    <w:p>
      <w:pPr>
        <w:pStyle w:val="FirstParagraph"/>
      </w:pPr>
      <w:r>
        <w:t xml:space="preserve">The 3-of-5 match in Table 4 — particularly the</w:t>
      </w:r>
      <w:r>
        <w:t xml:space="preserve"> </w:t>
      </w:r>
      <w:r>
        <w:rPr>
          <w:bCs/>
          <w:b/>
        </w:rPr>
        <w:t xml:space="preserve">doubly-supported Neuroticism positive direction</w:t>
      </w:r>
      <w:r>
        <w:t xml:space="preserve"> </w:t>
      </w:r>
      <w:r>
        <w:t xml:space="preserve">— is the strongest cultural-context finding in this paper. The N+ direction is opposite to the Western N null/negative pattern (Poropat 2009; Mammadov 2022) and is consistent with Hofstede’s (1986) characterisation of strong-UAI societies as ones in which students are rewarded for structured, accuracy-focused study — behaviours plausibly fuelled by trait-level anxiety. The Agreeableness mismatch (predicted − by HM04 UAI .45; observed + in both Japan studies) is informative rather than refuting: population trait scores need not predict individual-level personality–outcome correlations within a particular activity domain, and online-learning may afford agreeable students engagement channels that decouple from population A.</w:t>
      </w:r>
    </w:p>
    <w:bookmarkEnd w:id="43"/>
    <w:bookmarkStart w:id="44" w:name="self-plagiarism-firewall"/>
    <w:p>
      <w:pPr>
        <w:pStyle w:val="Heading3"/>
      </w:pPr>
      <w:r>
        <w:t xml:space="preserve">5.5. Self-plagiarism firewall</w:t>
      </w:r>
    </w:p>
    <w:p>
      <w:pPr>
        <w:pStyle w:val="FirstParagraph"/>
      </w:pPr>
      <w:r>
        <w:t xml:space="preserve">The within-Asia decomposition and the Hofstede direction-match analysis (Table 4) are both absent from the parent preprint, which only reports the binary Asia / non-Asia contrast. Disclosure follows</w:t>
      </w:r>
      <w:r>
        <w:t xml:space="preserve"> </w:t>
      </w:r>
      <w:r>
        <w:rPr>
          <w:rStyle w:val="VerbatimChar"/>
        </w:rPr>
        <w:t xml:space="preserve">templates/preprint_disclosure_template.md</w:t>
      </w:r>
      <w:r>
        <w:t xml:space="preserve"> </w:t>
      </w:r>
      <w:r>
        <w:t xml:space="preserve">ICEEL block.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limitations"/>
    <w:p>
      <w:pPr>
        <w:pStyle w:val="Heading2"/>
      </w:pPr>
      <w:r>
        <w:t xml:space="preserve">6. Limitations</w:t>
      </w:r>
    </w:p>
    <w:p>
      <w:pPr>
        <w:pStyle w:val="FirstParagraph"/>
      </w:pPr>
      <w:r>
        <w:t xml:space="preserve">The dominant limitation is k. With k = 2 Asian primary-pool studies, the Hofstede meta-regression has zero residual degrees of freedom; slopes and direction-matches are descriptive only. The Hofstede framework itself is critiqued (Minkov &amp; Hofstede, 2014; McSweeney, 2002) for ecological-fallacy risk and IBM-sample provenance; Minkov-revised dimensions might yield different direction predictions. Western-derived Big Five may not capture culture-specific personality structure in Japan (Cheung et al., 2003). Single-author, single-coder; country-to-Hofstede-dimension assignment uses the canonical Hofstede Insights (2024) table rather than hand-coding.</w:t>
      </w:r>
    </w:p>
    <w:p>
      <w:r>
        <w:pict>
          <v:rect style="width:0;height:1.5pt" o:hralign="center" o:hrstd="t" o:hr="t"/>
        </w:pict>
      </w:r>
    </w:p>
    <w:bookmarkEnd w:id="46"/>
    <w:bookmarkStart w:id="47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The contribution of this paper is threefold: (a) the binary Asia / non-Asia contrast in the parent preprint conceals a within-Asia structure that the current corpus cannot statistically resolve (k = 2); (b) a Hofstede direction-prediction analysis (Hofstede &amp; McCrae 2004 trait-dimension correlations) yields</w:t>
      </w:r>
      <w:r>
        <w:t xml:space="preserve"> </w:t>
      </w:r>
      <w:r>
        <w:rPr>
          <w:bCs/>
          <w:b/>
        </w:rPr>
        <w:t xml:space="preserve">3 of 5 trait direction-matches</w:t>
      </w:r>
      <w:r>
        <w:t xml:space="preserve"> </w:t>
      </w:r>
      <w:r>
        <w:t xml:space="preserve">in two Japan-based studies, with the</w:t>
      </w:r>
      <w:r>
        <w:t xml:space="preserve"> </w:t>
      </w:r>
      <w:r>
        <w:rPr>
          <w:bCs/>
          <w:b/>
        </w:rPr>
        <w:t xml:space="preserve">Neuroticism positive direction</w:t>
      </w:r>
      <w:r>
        <w:t xml:space="preserve"> </w:t>
      </w:r>
      <w:r>
        <w:t xml:space="preserve">in both being doubly predicted by Japan’s very high UAI and MAS and being opposite to the Western pattern; and (c) the Agreeableness mismatch (predicted −, observed +) opens an empirical question about whether collectivist online-learning behaviour decouples from population trait-level A. Practically, Japanese ed-tech researchers should treat Big Five-based personalisation claims with caution: only Conscientiousness shows a consistent direction; instrument standardisation (60-item BFI-2-J vs 10-item TIPI-J) and consistent trait-by-achievement reporting are prerequisites for any future Hofstede moderator analysis with df &gt; 0. Future work: extend the Asian primary-pool corpus by targeted recruitment of Korean and Taiwanese samples and test Minkov-revised dimensions as a robustness check on the HM04 mapping.</w:t>
      </w:r>
    </w:p>
    <w:p>
      <w:r>
        <w:pict>
          <v:rect style="width:0;height:1.5pt" o:hralign="center" o:hrstd="t" o:hr="t"/>
        </w:pict>
      </w:r>
    </w:p>
    <w:bookmarkEnd w:id="47"/>
    <w:bookmarkStart w:id="48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This paper was prepared by the sole author. A preliminary version of the underlying systematic review and meta-analysis is publicly available on Research Square (DOI 10.21203/rs.3.rs-9513298/v1, posted 27 April 2026). The present ICEEL submission decomposes the binary Asia / non-Asia region moderator from the preprint into a within-Asia Hofstede-moderated analysis and a Japan focus — neither of these analyses appears in the preprint. ORCID: 0009-0009-7124-6669.</w:t>
      </w:r>
    </w:p>
    <w:p>
      <w:r>
        <w:pict>
          <v:rect style="width:0;height:1.5pt" o:hralign="center" o:hrstd="t" o:hr="t"/>
        </w:pict>
      </w:r>
    </w:p>
    <w:bookmarkEnd w:id="48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All references below are taken from</w:t>
      </w:r>
      <w:r>
        <w:t xml:space="preserve"> </w:t>
      </w:r>
      <w:r>
        <w:rPr>
          <w:rStyle w:val="VerbatimChar"/>
        </w:rPr>
        <w:t xml:space="preserve">metaanalysis/reference_index.md</w:t>
      </w:r>
      <w:r>
        <w:t xml:space="preserve"> </w:t>
      </w:r>
      <w:r>
        <w:t xml:space="preserve">(PDF-verified ✅), with the exception of the Hofstede Insights web data source, which is a website rather than a citable PDF.</w:t>
      </w:r>
    </w:p>
    <w:bookmarkStart w:id="49" w:name="primary-studies-cited"/>
    <w:p>
      <w:pPr>
        <w:pStyle w:val="Heading3"/>
      </w:pPr>
      <w:r>
        <w:t xml:space="preserve">Primary studies cited</w:t>
      </w:r>
    </w:p>
    <w:p>
      <w:pPr>
        <w:numPr>
          <w:ilvl w:val="0"/>
          <w:numId w:val="1002"/>
        </w:numPr>
        <w:pStyle w:val="Compact"/>
      </w:pPr>
      <w:r>
        <w:t xml:space="preserve">D. J. Rivers,</w:t>
      </w:r>
      <w:r>
        <w:t xml:space="preserve"> </w:t>
      </w:r>
      <w:r>
        <w:t xml:space="preserve">“</w:t>
      </w:r>
      <w:r>
        <w:t xml:space="preserve">The role of personality traits and online academic self-efficacy in acceptance, actual use and achievement in Moodle,</w:t>
      </w:r>
      <w:r>
        <w:t xml:space="preserve">”</w:t>
      </w:r>
      <w:r>
        <w:t xml:space="preserve"> </w:t>
      </w:r>
      <w:r>
        <w:rPr>
          <w:iCs/>
          <w:i/>
        </w:rPr>
        <w:t xml:space="preserve">Education and Information Technologies</w:t>
      </w:r>
      <w:r>
        <w:t xml:space="preserve">, vol. 26, no. 4, pp. 4353–4378, 2021. https://doi.org/10.1007/s10639-021-10478-3</w:t>
      </w:r>
    </w:p>
    <w:p>
      <w:pPr>
        <w:numPr>
          <w:ilvl w:val="0"/>
          <w:numId w:val="1002"/>
        </w:numPr>
        <w:pStyle w:val="Compact"/>
      </w:pPr>
      <w:r>
        <w:t xml:space="preserve">E. Tokiwa,</w:t>
      </w:r>
      <w:r>
        <w:t xml:space="preserve"> </w:t>
      </w:r>
      <w:r>
        <w:t xml:space="preserve">“</w:t>
      </w:r>
      <w:r>
        <w:t xml:space="preserve">Who excels in online learning in Japan?</w:t>
      </w:r>
      <w:r>
        <w:t xml:space="preserve">”</w:t>
      </w:r>
      <w:r>
        <w:t xml:space="preserve"> </w:t>
      </w:r>
      <w:r>
        <w:rPr>
          <w:iCs/>
          <w:i/>
        </w:rPr>
        <w:t xml:space="preserve">Frontiers in Psychology</w:t>
      </w:r>
      <w:r>
        <w:t xml:space="preserve">, vol. 16, Article 1420996, 2025. https://doi.org/10.3389/fpsyg.2025.1420996</w:t>
      </w:r>
    </w:p>
    <w:p>
      <w:pPr>
        <w:numPr>
          <w:ilvl w:val="0"/>
          <w:numId w:val="1002"/>
        </w:numPr>
        <w:pStyle w:val="Compact"/>
      </w:pPr>
      <w:r>
        <w:t xml:space="preserve">P. Wang, F. Wang, and Z. Li,</w:t>
      </w:r>
      <w:r>
        <w:t xml:space="preserve"> </w:t>
      </w:r>
      <w:r>
        <w:t xml:space="preserve">“</w:t>
      </w:r>
      <w:r>
        <w:t xml:space="preserve">Exploring the ecosystem of K-12 online learning: An empirical study of impact mechanisms in the post-pandemic era,</w:t>
      </w:r>
      <w:r>
        <w:t xml:space="preserve">”</w:t>
      </w:r>
      <w:r>
        <w:t xml:space="preserve"> </w:t>
      </w:r>
      <w:r>
        <w:rPr>
          <w:iCs/>
          <w:i/>
        </w:rPr>
        <w:t xml:space="preserve">Frontiers in Psychology</w:t>
      </w:r>
      <w:r>
        <w:t xml:space="preserve">, vol. 14, 1241477, 2023. https://doi.org/10.3389/fpsyg.2023.1241477</w:t>
      </w:r>
    </w:p>
    <w:p>
      <w:pPr>
        <w:numPr>
          <w:ilvl w:val="0"/>
          <w:numId w:val="1002"/>
        </w:numPr>
        <w:pStyle w:val="Compact"/>
      </w:pPr>
      <w:r>
        <w:t xml:space="preserve">Z. Yu,</w:t>
      </w:r>
      <w:r>
        <w:t xml:space="preserve"> </w:t>
      </w:r>
      <w:r>
        <w:t xml:space="preserve">“</w:t>
      </w:r>
      <w:r>
        <w:t xml:space="preserve">The effects of gender, educational level, and personality on online learning outcomes during the COVID-19 pandemic,</w:t>
      </w:r>
      <w:r>
        <w:t xml:space="preserve">”</w:t>
      </w:r>
      <w:r>
        <w:t xml:space="preserve"> </w:t>
      </w:r>
      <w:r>
        <w:rPr>
          <w:iCs/>
          <w:i/>
        </w:rPr>
        <w:t xml:space="preserve">International Journal of Educational Technology in Higher Education</w:t>
      </w:r>
      <w:r>
        <w:t xml:space="preserve">, vol. 18, no. 1, Article 14, 2021. https://doi.org/10.1186/s41239-021-00252-3</w:t>
      </w:r>
    </w:p>
    <w:bookmarkEnd w:id="49"/>
    <w:bookmarkStart w:id="50" w:name="benchmark-meta-analyses-cited"/>
    <w:p>
      <w:pPr>
        <w:pStyle w:val="Heading3"/>
      </w:pPr>
      <w:r>
        <w:t xml:space="preserve">Benchmark meta-analyses cited</w:t>
      </w:r>
    </w:p>
    <w:p>
      <w:pPr>
        <w:numPr>
          <w:ilvl w:val="0"/>
          <w:numId w:val="1003"/>
        </w:numPr>
        <w:pStyle w:val="Compact"/>
      </w:pPr>
      <w:r>
        <w:t xml:space="preserve">S. Chen, A. C. K. Cheung, and Z. Zeng,</w:t>
      </w:r>
      <w:r>
        <w:t xml:space="preserve"> </w:t>
      </w:r>
      <w:r>
        <w:t xml:space="preserve">“</w:t>
      </w:r>
      <w:r>
        <w:t xml:space="preserve">Big Five personality traits and university students’ academic performance: A meta-analysis,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Personality and Individual Differences</w:t>
      </w:r>
      <w:r>
        <w:t xml:space="preserve">, vol. 240, 113163, 2025. https://doi.org/10.1016/j.paid.2025.113163</w:t>
      </w:r>
    </w:p>
    <w:p>
      <w:pPr>
        <w:numPr>
          <w:ilvl w:val="0"/>
          <w:numId w:val="1003"/>
        </w:numPr>
        <w:pStyle w:val="Compact"/>
      </w:pPr>
      <w:r>
        <w:t xml:space="preserve">S. Mammadov,</w:t>
      </w:r>
      <w:r>
        <w:t xml:space="preserve"> </w:t>
      </w:r>
      <w:r>
        <w:t xml:space="preserve">“</w:t>
      </w:r>
      <w:r>
        <w:t xml:space="preserve">Big Five personality traits and academic performance: A meta-analysis,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Personality</w:t>
      </w:r>
      <w:r>
        <w:t xml:space="preserve">, vol. 90, no. 2, pp. 222–255, 2022. https://doi.org/10.1111/jopy.12663</w:t>
      </w:r>
    </w:p>
    <w:bookmarkEnd w:id="50"/>
    <w:bookmarkStart w:id="51" w:name="Xaac596f6a4a5ff714fe3beb93a6b70517642967"/>
    <w:p>
      <w:pPr>
        <w:pStyle w:val="Heading3"/>
      </w:pPr>
      <w:r>
        <w:t xml:space="preserve">Hofstede framework and Big Five × culture linkages</w:t>
      </w:r>
    </w:p>
    <w:p>
      <w:pPr>
        <w:numPr>
          <w:ilvl w:val="0"/>
          <w:numId w:val="1004"/>
        </w:numPr>
        <w:pStyle w:val="Compact"/>
      </w:pPr>
      <w:r>
        <w:t xml:space="preserve">G. Hofstede,</w:t>
      </w:r>
      <w:r>
        <w:t xml:space="preserve"> </w:t>
      </w:r>
      <w:r>
        <w:rPr>
          <w:iCs/>
          <w:i/>
        </w:rPr>
        <w:t xml:space="preserve">Culture’s Consequences: Comparing Values, Behaviors, Institutions and Organizations across Nations</w:t>
      </w:r>
      <w:r>
        <w:t xml:space="preserve">, 2nd ed., Sage Publications, 2001.</w:t>
      </w:r>
    </w:p>
    <w:p>
      <w:pPr>
        <w:numPr>
          <w:ilvl w:val="0"/>
          <w:numId w:val="1004"/>
        </w:numPr>
        <w:pStyle w:val="Compact"/>
      </w:pPr>
      <w:r>
        <w:t xml:space="preserve">G. Hofstede,</w:t>
      </w:r>
      <w:r>
        <w:t xml:space="preserve"> </w:t>
      </w:r>
      <w:r>
        <w:t xml:space="preserve">“</w:t>
      </w:r>
      <w:r>
        <w:t xml:space="preserve">Cultural differences in teaching and learning,</w:t>
      </w:r>
      <w:r>
        <w:t xml:space="preserve">”</w:t>
      </w:r>
      <w:r>
        <w:t xml:space="preserve"> </w:t>
      </w:r>
      <w:r>
        <w:rPr>
          <w:iCs/>
          <w:i/>
        </w:rPr>
        <w:t xml:space="preserve">International Journal of Intercultural Relations</w:t>
      </w:r>
      <w:r>
        <w:t xml:space="preserve">, vol. 10, no. 3, pp. 301–320, 1986. https://doi.org/10.1016/0147-1767(86)90015-5</w:t>
      </w:r>
    </w:p>
    <w:p>
      <w:pPr>
        <w:numPr>
          <w:ilvl w:val="0"/>
          <w:numId w:val="1004"/>
        </w:numPr>
        <w:pStyle w:val="Compact"/>
      </w:pPr>
      <w:r>
        <w:t xml:space="preserve">G. Hofstede and R. R. McCrae,</w:t>
      </w:r>
      <w:r>
        <w:t xml:space="preserve"> </w:t>
      </w:r>
      <w:r>
        <w:t xml:space="preserve">“</w:t>
      </w:r>
      <w:r>
        <w:t xml:space="preserve">Personality and culture revisited: Linking traits and dimensions of culture,</w:t>
      </w:r>
      <w:r>
        <w:t xml:space="preserve">”</w:t>
      </w:r>
      <w:r>
        <w:t xml:space="preserve"> </w:t>
      </w:r>
      <w:r>
        <w:rPr>
          <w:iCs/>
          <w:i/>
        </w:rPr>
        <w:t xml:space="preserve">Cross-Cultural Research</w:t>
      </w:r>
      <w:r>
        <w:t xml:space="preserve">, vol. 38, no. 1, pp. 52–88, 2004. https://doi.org/10.1177/1069397103259443</w:t>
      </w:r>
    </w:p>
    <w:p>
      <w:pPr>
        <w:numPr>
          <w:ilvl w:val="0"/>
          <w:numId w:val="1004"/>
        </w:numPr>
        <w:pStyle w:val="Compact"/>
      </w:pPr>
      <w:r>
        <w:t xml:space="preserve">Hofstede Insights,</w:t>
      </w:r>
      <w:r>
        <w:t xml:space="preserve"> </w:t>
      </w:r>
      <w:r>
        <w:t xml:space="preserve">“</w:t>
      </w:r>
      <w:r>
        <w:t xml:space="preserve">Country comparison tool,</w:t>
      </w:r>
      <w:r>
        <w:t xml:space="preserve">”</w:t>
      </w:r>
      <w:r>
        <w:t xml:space="preserve"> </w:t>
      </w:r>
      <w:r>
        <w:t xml:space="preserve">https://www.hofstede-insights.com/, accessed 2024 [website data source].</w:t>
      </w:r>
    </w:p>
    <w:p>
      <w:pPr>
        <w:numPr>
          <w:ilvl w:val="0"/>
          <w:numId w:val="1004"/>
        </w:numPr>
        <w:pStyle w:val="Compact"/>
      </w:pPr>
      <w:r>
        <w:t xml:space="preserve">J. Allik and R. R. McCrae,</w:t>
      </w:r>
      <w:r>
        <w:t xml:space="preserve"> </w:t>
      </w:r>
      <w:r>
        <w:t xml:space="preserve">“</w:t>
      </w:r>
      <w:r>
        <w:t xml:space="preserve">Toward a geography of personality traits: Patterns of profiles across 36 cultures,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Cross-Cultural Psychology</w:t>
      </w:r>
      <w:r>
        <w:t xml:space="preserve">, vol. 35, no. 1, pp. 13–28, 2004. https://doi.org/10.1177/0022022103260382</w:t>
      </w:r>
    </w:p>
    <w:p>
      <w:pPr>
        <w:numPr>
          <w:ilvl w:val="0"/>
          <w:numId w:val="1004"/>
        </w:numPr>
        <w:pStyle w:val="Compact"/>
      </w:pPr>
      <w:r>
        <w:t xml:space="preserve">R. R. McCrae and A. Terracciano,</w:t>
      </w:r>
      <w:r>
        <w:t xml:space="preserve"> </w:t>
      </w:r>
      <w:r>
        <w:t xml:space="preserve">“</w:t>
      </w:r>
      <w:r>
        <w:t xml:space="preserve">Universal features of personality traits from the observer’s perspective: Data from 50 cultures,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Personality and Social Psychology</w:t>
      </w:r>
      <w:r>
        <w:t xml:space="preserve">, vol. 88, no. 3, pp. 547–561, 2005. https://doi.org/10.1037/0022-3514.88.3.547</w:t>
      </w:r>
    </w:p>
    <w:p>
      <w:pPr>
        <w:numPr>
          <w:ilvl w:val="0"/>
          <w:numId w:val="1004"/>
        </w:numPr>
        <w:pStyle w:val="Compact"/>
      </w:pPr>
      <w:r>
        <w:t xml:space="preserve">D. P. Schmitt, J. Allik, R. R. McCrae, and V. Benet-Martínez,</w:t>
      </w:r>
      <w:r>
        <w:t xml:space="preserve"> </w:t>
      </w:r>
      <w:r>
        <w:t xml:space="preserve">“</w:t>
      </w:r>
      <w:r>
        <w:t xml:space="preserve">The geographic distribution of Big Five personality traits: Patterns and profiles of human self-description across 56 nations,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Cross-Cultural Psychology</w:t>
      </w:r>
      <w:r>
        <w:t xml:space="preserve">, vol. 38, no. 2, pp. 173–212, 2007. https://doi.org/10.1177/0022022106297299</w:t>
      </w:r>
    </w:p>
    <w:p>
      <w:pPr>
        <w:numPr>
          <w:ilvl w:val="0"/>
          <w:numId w:val="1004"/>
        </w:numPr>
        <w:pStyle w:val="Compact"/>
      </w:pPr>
      <w:r>
        <w:t xml:space="preserve">L. A. Migliore,</w:t>
      </w:r>
      <w:r>
        <w:t xml:space="preserve"> </w:t>
      </w:r>
      <w:r>
        <w:t xml:space="preserve">“</w:t>
      </w:r>
      <w:r>
        <w:t xml:space="preserve">Relation between big five personality traits and Hofstede’s cultural dimensions: Samples from the USA and India,</w:t>
      </w:r>
      <w:r>
        <w:t xml:space="preserve">”</w:t>
      </w:r>
      <w:r>
        <w:t xml:space="preserve"> </w:t>
      </w:r>
      <w:r>
        <w:rPr>
          <w:iCs/>
          <w:i/>
        </w:rPr>
        <w:t xml:space="preserve">Cross Cultural Management: An International Journal</w:t>
      </w:r>
      <w:r>
        <w:t xml:space="preserve">, vol. 18, no. 1, pp. 38–54, 2011. https://doi.org/10.1108/13527601111104287</w:t>
      </w:r>
    </w:p>
    <w:p>
      <w:pPr>
        <w:numPr>
          <w:ilvl w:val="0"/>
          <w:numId w:val="1004"/>
        </w:numPr>
        <w:pStyle w:val="Compact"/>
      </w:pPr>
      <w:r>
        <w:t xml:space="preserve">F. M. Cheung, S. F. Cheung, S. Wada, and J. Zhang,</w:t>
      </w:r>
      <w:r>
        <w:t xml:space="preserve"> </w:t>
      </w:r>
      <w:r>
        <w:t xml:space="preserve">“</w:t>
      </w:r>
      <w:r>
        <w:t xml:space="preserve">Indigenous measures of personality assessment in Asian countries: A review,</w:t>
      </w:r>
      <w:r>
        <w:t xml:space="preserve">”</w:t>
      </w:r>
      <w:r>
        <w:t xml:space="preserve"> </w:t>
      </w:r>
      <w:r>
        <w:rPr>
          <w:iCs/>
          <w:i/>
        </w:rPr>
        <w:t xml:space="preserve">Psychological Assessment</w:t>
      </w:r>
      <w:r>
        <w:t xml:space="preserve">, vol. 15, no. 3, pp. 280–289, 2003. https://doi.org/10.1037/1040-3590.15.3.280</w:t>
      </w:r>
    </w:p>
    <w:p>
      <w:pPr>
        <w:numPr>
          <w:ilvl w:val="0"/>
          <w:numId w:val="1004"/>
        </w:numPr>
        <w:pStyle w:val="Compact"/>
      </w:pPr>
      <w:r>
        <w:t xml:space="preserve">R. Lynn and T. Martin,</w:t>
      </w:r>
      <w:r>
        <w:t xml:space="preserve"> </w:t>
      </w:r>
      <w:r>
        <w:t xml:space="preserve">“</w:t>
      </w:r>
      <w:r>
        <w:t xml:space="preserve">National differences for thirty-seven nations in extraversion, neuroticism, psychoticism and economic, demographic and other correlates,</w:t>
      </w:r>
      <w:r>
        <w:t xml:space="preserve">”</w:t>
      </w:r>
      <w:r>
        <w:t xml:space="preserve"> </w:t>
      </w:r>
      <w:r>
        <w:rPr>
          <w:iCs/>
          <w:i/>
        </w:rPr>
        <w:t xml:space="preserve">Personality and Individual Differences</w:t>
      </w:r>
      <w:r>
        <w:t xml:space="preserve">, vol. 19, no. 3, pp. 403–406, 1995. https://doi.org/10.1016/0191-8869(95)00054-A</w:t>
      </w:r>
    </w:p>
    <w:p>
      <w:pPr>
        <w:numPr>
          <w:ilvl w:val="0"/>
          <w:numId w:val="1004"/>
        </w:numPr>
        <w:pStyle w:val="Compact"/>
      </w:pPr>
      <w:r>
        <w:t xml:space="preserve">B. McSweeney,</w:t>
      </w:r>
      <w:r>
        <w:t xml:space="preserve"> </w:t>
      </w:r>
      <w:r>
        <w:t xml:space="preserve">“</w:t>
      </w:r>
      <w:r>
        <w:t xml:space="preserve">Hofstede’s model of national cultural differences and their consequences: A triumph of faith — a failure of 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Human Relations</w:t>
      </w:r>
      <w:r>
        <w:t xml:space="preserve">, vol. 55, no. 1, pp. 89–118, 2002. https://doi.org/10.1177/0018726702551004</w:t>
      </w:r>
    </w:p>
    <w:p>
      <w:pPr>
        <w:numPr>
          <w:ilvl w:val="0"/>
          <w:numId w:val="1004"/>
        </w:numPr>
        <w:pStyle w:val="Compact"/>
      </w:pPr>
      <w:r>
        <w:t xml:space="preserve">M. Minkov and G. Hofstede,</w:t>
      </w:r>
      <w:r>
        <w:t xml:space="preserve"> </w:t>
      </w:r>
      <w:r>
        <w:t xml:space="preserve">“</w:t>
      </w:r>
      <w:r>
        <w:t xml:space="preserve">A replication of Hofstede’s uncertainty avoidance dimension across nationally representative samples from Europe,</w:t>
      </w:r>
      <w:r>
        <w:t xml:space="preserve">”</w:t>
      </w:r>
      <w:r>
        <w:t xml:space="preserve"> </w:t>
      </w:r>
      <w:r>
        <w:rPr>
          <w:iCs/>
          <w:i/>
        </w:rPr>
        <w:t xml:space="preserve">International Journal of Cross-Cultural Management</w:t>
      </w:r>
      <w:r>
        <w:t xml:space="preserve">, vol. 14, no. 1, pp. 7–22, 2014. https://doi.org/10.1177/1470595814521600</w:t>
      </w:r>
    </w:p>
    <w:bookmarkEnd w:id="51"/>
    <w:bookmarkStart w:id="52" w:name="authors-own-preprint"/>
    <w:p>
      <w:pPr>
        <w:pStyle w:val="Heading3"/>
      </w:pPr>
      <w:r>
        <w:t xml:space="preserve">Author’s own preprint</w:t>
      </w:r>
    </w:p>
    <w:p>
      <w:pPr>
        <w:numPr>
          <w:ilvl w:val="0"/>
          <w:numId w:val="1005"/>
        </w:numPr>
        <w:pStyle w:val="Compact"/>
      </w:pPr>
      <w:r>
        <w:t xml:space="preserve">E. Tokiwa,</w:t>
      </w:r>
      <w:r>
        <w:t xml:space="preserve"> </w:t>
      </w:r>
      <w:r>
        <w:t xml:space="preserve">“</w:t>
      </w:r>
      <w:r>
        <w:t xml:space="preserve">Big Five personality traits and academic achievement in online learning environments: A systematic review and meta-analysis,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Research Square</w:t>
      </w:r>
      <w:r>
        <w:t xml:space="preserve"> </w:t>
      </w:r>
      <w:r>
        <w:t xml:space="preserve">preprint, https://doi.org/10.21203/rs.3.rs-9513298/v1, 2026.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appendix-a.-reproducibility"/>
    <w:p>
      <w:pPr>
        <w:pStyle w:val="Heading2"/>
      </w:pPr>
      <w:r>
        <w:t xml:space="preserve">Appendix A. Reproducibility</w:t>
      </w:r>
    </w:p>
    <w:p>
      <w:pPr>
        <w:numPr>
          <w:ilvl w:val="0"/>
          <w:numId w:val="1006"/>
        </w:numPr>
        <w:pStyle w:val="Compact"/>
      </w:pPr>
      <w:r>
        <w:t xml:space="preserve">Source dataset:</w:t>
      </w:r>
      <w:r>
        <w:t xml:space="preserve"> </w:t>
      </w:r>
      <w:r>
        <w:rPr>
          <w:rStyle w:val="VerbatimChar"/>
        </w:rPr>
        <w:t xml:space="preserve">metaanalysis/conference_submissions/inputs/studies.csv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Hofstede table: encoded inline in the script.</w:t>
      </w:r>
    </w:p>
    <w:p>
      <w:pPr>
        <w:numPr>
          <w:ilvl w:val="0"/>
          <w:numId w:val="1006"/>
        </w:numPr>
        <w:pStyle w:val="Compact"/>
      </w:pPr>
      <w:r>
        <w:t xml:space="preserve">Analysis script:</w:t>
      </w:r>
      <w:r>
        <w:t xml:space="preserve"> </w:t>
      </w:r>
      <w:r>
        <w:rPr>
          <w:rStyle w:val="VerbatimChar"/>
        </w:rPr>
        <w:t xml:space="preserve">metaanalysis/conference_submissions/iceel/scripts/run_hofstede_meta.py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Result CSVs / MD:</w:t>
      </w:r>
      <w:r>
        <w:t xml:space="preserve"> </w:t>
      </w:r>
      <w:r>
        <w:rPr>
          <w:rStyle w:val="VerbatimChar"/>
        </w:rPr>
        <w:t xml:space="preserve">metaanalysis/conference_submissions/iceel/results/{asia_subset_pools, hofstede_meta_regression, japan_synthesis, summary}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Pooling primitives re-used from</w:t>
      </w:r>
      <w:r>
        <w:t xml:space="preserve"> </w:t>
      </w:r>
      <w:r>
        <w:rPr>
          <w:rStyle w:val="VerbatimChar"/>
        </w:rPr>
        <w:t xml:space="preserve">metaanalysis/analysis/pool.py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manuscript draft. Approximately 2,800 words.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2026-05-10T09:54:16Z</dcterms:created>
  <dcterms:modified xsi:type="dcterms:W3CDTF">2026-05-10T09:54:16Z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