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jc w:val="center"/>
      </w:pPr>
      <w:r>
        <w:rPr>
          <w:rFonts w:ascii="Times New Roman" w:hAnsi="Times New Roman" w:eastAsia="Times New Roman"/>
          <w:b/>
          <w:sz w:val="24"/>
        </w:rPr>
        <w:t>Methods</w:t>
      </w:r>
    </w:p>
    <w:p>
      <w:pPr>
        <w:spacing w:line="480" w:lineRule="auto" w:before="0" w:after="0"/>
        <w:jc w:val="left"/>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left"/>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left"/>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Results</w:t>
      </w:r>
    </w:p>
    <w:p>
      <w:pPr>
        <w:spacing w:line="480" w:lineRule="auto" w:before="0" w:after="0"/>
        <w:jc w:val="left"/>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left"/>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Period (MHLW)</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Observed</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Predicted</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FY2016 (32.5%, primary)</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0.325</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46.34%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[32.36, 59.30]</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FY2020 (31.4%, secondary)</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0.314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44.46%</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[30.00, 57.88]</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FY2023 (19.3%, secondary)</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0.193</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9.65%</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[0.52, 31.52]</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left"/>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Family</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Value</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Baseline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main_v2.0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[31.5, 59.5]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mean+0.25 SD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29.58%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[13.7, 45.2]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Standard SUCCESS</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mean+0.5 SD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[30.5, 59.2]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mean+1.0 SD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48.95%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[34.0, 62.4]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45.04%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[43.8, 46.3]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45.22%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[43.9, 46.5]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2.0×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45.24%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[43.9, 46.4]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 pseudocount</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45.90%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[32.1, 58.7]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[31.4, 59.0]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2.0× pseudocount</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45.80%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[32.3, 58.9]</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−0.10 high−low</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56.47%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[42.8, 68.8]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[31.4, 59.2]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+0.10 high−low</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34.55%</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[16.6, 51.8]</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Baseline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Description</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B0</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Uniform = MHLW grand mean</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[0.00, 0.00] (deterministic)</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B1</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Gender logistic</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46.02%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[46.02, 46.02] (deterministic)</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HEXACO 6-domain logistic</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43.98%</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[40.33, 47.35]</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B3</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14-cell conditional</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46.34%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[46.34, 46.34] (deterministic)</w:t>
            </w:r>
          </w:p>
        </w:tc>
      </w:tr>
      <w:tr>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B4</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Extended (age + age × cluster)</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47.04%</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Intervention</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Operationalization</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 point</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Decision (CI excludes 0?)</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A</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do(HH ← HH + 0.3σ; A ← A + 0.3σ; E ← E + 0.3σ)</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−0.0061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[−0.0207, +0.0062]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No (null)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B</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do(HH := HH + 0.40σ_HH) for individuals whose baseline cluster ∈ {0, 4, 6}</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−0.0059</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[−0.0207, +0.0066]</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No (null)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C</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do(P_{c, x} ← 0.80 × P_{c, x})</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+0.0349</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[+0.0264, +0.0435]</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Factor F</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Anchor</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ΔP_A (attenuated)</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ΔP_C (attenuated)</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H7</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Conservative cross-cultural worst case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−0.0018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+0.0105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Nielsen et al., 2017 expected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−0.0031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+0.0174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Mild attenuation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−0.0043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+0.0244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Reference (no attenuation)</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−0.0061</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+0.0349</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Hypothesis</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Pre-registered prediction</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Outcome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H1</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MAPE_FY2016 ≤ 30% (Strict / Standard SUCCESS)</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MAPE = 46.34%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Monotonic B0 &gt; B1 &gt; B2 &gt; B3 &gt; B4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 of 4 pairs confirmed (Page's L p = 0.976)</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REJECTED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H3</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Centroid concordance N=354 vs N=13,668</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Externally 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Per-cell propensity stability across bootstrap procedures</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13/14 cells resolved at BCa; 1 degenerate cell (X=0) at Clopper-Pearson per the pre-registered cascade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H5</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Gender invariance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H6</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Power × gender harassment cluster ranking concordance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Weak concordance (Spearman ρ = 0.04 at 7-cluster level, p = 0.94; ρ = 0.14 at 14-cell level, p = 0.62)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REJECTED</w:t>
            </w:r>
          </w:p>
        </w:tc>
      </w:tr>
      <w:tr>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H7</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IUT classification</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 (robust across F = 0.3–1.0)</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Discussion</w:t>
      </w:r>
    </w:p>
    <w:p>
      <w:pPr>
        <w:spacing w:line="480" w:lineRule="auto" w:before="0" w:after="0"/>
        <w:jc w:val="left"/>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left"/>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left"/>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left"/>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left"/>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jc w:val="center"/>
      </w:pPr>
      <w:r>
        <w:drawing>
          <wp:inline xmlns:a="http://schemas.openxmlformats.org/drawingml/2006/main" xmlns:pic="http://schemas.openxmlformats.org/drawingml/2006/picture">
            <wp:extent cx="5029200" cy="2352213"/>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0"/>
                    <a:stretch>
                      <a:fillRect/>
                    </a:stretch>
                  </pic:blipFill>
                  <pic:spPr>
                    <a:xfrm>
                      <a:off x="0" y="0"/>
                      <a:ext cx="5029200" cy="2352213"/>
                    </a:xfrm>
                    <a:prstGeom prst="rect"/>
                  </pic:spPr>
                </pic:pic>
              </a:graphicData>
            </a:graphic>
          </wp:inline>
        </w:drawing>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jc w:val="center"/>
      </w:pPr>
      <w:r>
        <w:drawing>
          <wp:inline xmlns:a="http://schemas.openxmlformats.org/drawingml/2006/main" xmlns:pic="http://schemas.openxmlformats.org/drawingml/2006/picture">
            <wp:extent cx="5029200" cy="5569735"/>
            <wp:docPr id="2" name="Picture 2"/>
            <wp:cNvGraphicFramePr>
              <a:graphicFrameLocks noChangeAspect="1"/>
            </wp:cNvGraphicFramePr>
            <a:graphic>
              <a:graphicData uri="http://schemas.openxmlformats.org/drawingml/2006/picture">
                <pic:pic>
                  <pic:nvPicPr>
                    <pic:cNvPr id="0" name="figure2_cell_propensity.png"/>
                    <pic:cNvPicPr/>
                  </pic:nvPicPr>
                  <pic:blipFill>
                    <a:blip r:embed="rId11"/>
                    <a:stretch>
                      <a:fillRect/>
                    </a:stretch>
                  </pic:blipFill>
                  <pic:spPr>
                    <a:xfrm>
                      <a:off x="0" y="0"/>
                      <a:ext cx="5029200" cy="5569735"/>
                    </a:xfrm>
                    <a:prstGeom prst="rect"/>
                  </pic:spPr>
                </pic:pic>
              </a:graphicData>
            </a:graphic>
          </wp:inline>
        </w:drawing>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jc w:val="center"/>
      </w:pPr>
      <w:r>
        <w:drawing>
          <wp:inline xmlns:a="http://schemas.openxmlformats.org/drawingml/2006/main" xmlns:pic="http://schemas.openxmlformats.org/drawingml/2006/picture">
            <wp:extent cx="5029200" cy="3330178"/>
            <wp:docPr id="3" name="Picture 3"/>
            <wp:cNvGraphicFramePr>
              <a:graphicFrameLocks noChangeAspect="1"/>
            </wp:cNvGraphicFramePr>
            <a:graphic>
              <a:graphicData uri="http://schemas.openxmlformats.org/drawingml/2006/picture">
                <pic:pic>
                  <pic:nvPicPr>
                    <pic:cNvPr id="0" name="figure3_prevalence_vs_mhlw.png"/>
                    <pic:cNvPicPr/>
                  </pic:nvPicPr>
                  <pic:blipFill>
                    <a:blip r:embed="rId12"/>
                    <a:stretch>
                      <a:fillRect/>
                    </a:stretch>
                  </pic:blipFill>
                  <pic:spPr>
                    <a:xfrm>
                      <a:off x="0" y="0"/>
                      <a:ext cx="5029200" cy="3330178"/>
                    </a:xfrm>
                    <a:prstGeom prst="rect"/>
                  </pic:spPr>
                </pic:pic>
              </a:graphicData>
            </a:graphic>
          </wp:inline>
        </w:drawing>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jc w:val="center"/>
      </w:pPr>
      <w:r>
        <w:drawing>
          <wp:inline xmlns:a="http://schemas.openxmlformats.org/drawingml/2006/main" xmlns:pic="http://schemas.openxmlformats.org/drawingml/2006/picture">
            <wp:extent cx="5029200" cy="2597085"/>
            <wp:docPr id="4" name="Picture 4"/>
            <wp:cNvGraphicFramePr>
              <a:graphicFrameLocks noChangeAspect="1"/>
            </wp:cNvGraphicFramePr>
            <a:graphic>
              <a:graphicData uri="http://schemas.openxmlformats.org/drawingml/2006/picture">
                <pic:pic>
                  <pic:nvPicPr>
                    <pic:cNvPr id="0" name="figure4_sensitivity_tornado.png"/>
                    <pic:cNvPicPr/>
                  </pic:nvPicPr>
                  <pic:blipFill>
                    <a:blip r:embed="rId13"/>
                    <a:stretch>
                      <a:fillRect/>
                    </a:stretch>
                  </pic:blipFill>
                  <pic:spPr>
                    <a:xfrm>
                      <a:off x="0" y="0"/>
                      <a:ext cx="5029200" cy="2597085"/>
                    </a:xfrm>
                    <a:prstGeom prst="rect"/>
                  </pic:spPr>
                </pic:pic>
              </a:graphicData>
            </a:graphic>
          </wp:inline>
        </w:drawing>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jc w:val="center"/>
      </w:pPr>
      <w:r>
        <w:drawing>
          <wp:inline xmlns:a="http://schemas.openxmlformats.org/drawingml/2006/main" xmlns:pic="http://schemas.openxmlformats.org/drawingml/2006/picture">
            <wp:extent cx="5029200" cy="2510755"/>
            <wp:docPr id="5" name="Picture 5"/>
            <wp:cNvGraphicFramePr>
              <a:graphicFrameLocks noChangeAspect="1"/>
            </wp:cNvGraphicFramePr>
            <a:graphic>
              <a:graphicData uri="http://schemas.openxmlformats.org/drawingml/2006/picture">
                <pic:pic>
                  <pic:nvPicPr>
                    <pic:cNvPr id="0" name="figure5_counterfactual_forest.png"/>
                    <pic:cNvPicPr/>
                  </pic:nvPicPr>
                  <pic:blipFill>
                    <a:blip r:embed="rId14"/>
                    <a:stretch>
                      <a:fillRect/>
                    </a:stretch>
                  </pic:blipFill>
                  <pic:spPr>
                    <a:xfrm>
                      <a:off x="0" y="0"/>
                      <a:ext cx="5029200" cy="2510755"/>
                    </a:xfrm>
                    <a:prstGeom prst="rect"/>
                  </pic:spPr>
                </pic:pic>
              </a:graphicData>
            </a:graphic>
          </wp:inline>
        </w:drawing>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jc w:val="center"/>
      </w:pPr>
      <w:r>
        <w:drawing>
          <wp:inline xmlns:a="http://schemas.openxmlformats.org/drawingml/2006/main" xmlns:pic="http://schemas.openxmlformats.org/drawingml/2006/picture">
            <wp:extent cx="5029200" cy="3388812"/>
            <wp:docPr id="6" name="Picture 6"/>
            <wp:cNvGraphicFramePr>
              <a:graphicFrameLocks noChangeAspect="1"/>
            </wp:cNvGraphicFramePr>
            <a:graphic>
              <a:graphicData uri="http://schemas.openxmlformats.org/drawingml/2006/picture">
                <pic:pic>
                  <pic:nvPicPr>
                    <pic:cNvPr id="0" name="figure6_transportability.png"/>
                    <pic:cNvPicPr/>
                  </pic:nvPicPr>
                  <pic:blipFill>
                    <a:blip r:embed="rId15"/>
                    <a:stretch>
                      <a:fillRect/>
                    </a:stretch>
                  </pic:blipFill>
                  <pic:spPr>
                    <a:xfrm>
                      <a:off x="0" y="0"/>
                      <a:ext cx="5029200" cy="3388812"/>
                    </a:xfrm>
                    <a:prstGeom prst="rect"/>
                  </pic:spPr>
                </pic:pic>
              </a:graphicData>
            </a:graphic>
          </wp:inline>
        </w:drawing>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