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w:t>
      </w:r>
      <w:r>
        <w:rPr>
          <w:rFonts w:ascii="Times New Roman" w:hAnsi="Times New Roman" w:eastAsia="Times New Roman"/>
          <w:b/>
          <w:sz w:val="24"/>
        </w:rPr>
        <w:t>Affiliation</w:t>
      </w:r>
      <w:r>
        <w:rPr>
          <w:rFonts w:ascii="Times New Roman" w:hAnsi="Times New Roman" w:eastAsia="Times New Roman"/>
          <w:sz w:val="24"/>
        </w:rPr>
        <w:t xml:space="preserve">: SUNBLAZE Co., Ltd., Tokyo, Japan </w:t>
      </w:r>
      <w:r>
        <w:rPr>
          <w:rFonts w:ascii="Times New Roman" w:hAnsi="Times New Roman" w:eastAsia="Times New Roman"/>
          <w:b/>
          <w:sz w:val="24"/>
        </w:rPr>
        <w:t>ORCID</w:t>
      </w:r>
      <w:r>
        <w:rPr>
          <w:rFonts w:ascii="Times New Roman" w:hAnsi="Times New Roman" w:eastAsia="Times New Roman"/>
          <w:sz w:val="24"/>
        </w:rPr>
        <w:t xml:space="preserve">: 0009-0009-7124-6669 </w:t>
      </w:r>
      <w:r>
        <w:rPr>
          <w:rFonts w:ascii="Times New Roman" w:hAnsi="Times New Roman" w:eastAsia="Times New Roman"/>
          <w:b/>
          <w:sz w:val="24"/>
        </w:rPr>
        <w:t>Correspondence</w:t>
      </w:r>
      <w:r>
        <w:rPr>
          <w:rFonts w:ascii="Times New Roman" w:hAnsi="Times New Roman" w:eastAsia="Times New Roman"/>
          <w:sz w:val="24"/>
        </w:rPr>
        <w:t xml:space="preserve">: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Preprint</w:t>
      </w:r>
      <w:r>
        <w:rPr>
          <w:rFonts w:ascii="Times New Roman" w:hAnsi="Times New Roman" w:eastAsia="Times New Roman"/>
          <w:sz w:val="24"/>
        </w:rPr>
        <w:t xml:space="preserve">: SocArXiv DOI 10.31235/osf.io/p2d8w_v1 (posted 2026-05-08) </w:t>
      </w:r>
      <w:r>
        <w:rPr>
          <w:rFonts w:ascii="Times New Roman" w:hAnsi="Times New Roman" w:eastAsia="Times New Roman"/>
          <w:b/>
          <w:sz w:val="24"/>
        </w:rPr>
        <w:t>Reporting standard</w:t>
      </w:r>
      <w:r>
        <w:rPr>
          <w:rFonts w:ascii="Times New Roman" w:hAnsi="Times New Roman" w:eastAsia="Times New Roman"/>
          <w:sz w:val="24"/>
        </w:rPr>
        <w:t>: Stage 2 Registered Report (post-data) following the v2.0 pre-registration</w:t>
      </w:r>
    </w:p>
    <w:p>
      <w:pPr>
        <w:spacing w:line="480" w:lineRule="auto" w:before="0" w:after="0"/>
        <w:ind w:firstLine="720"/>
      </w:pPr>
      <w:r>
        <w:rPr>
          <w:rFonts w:ascii="Times New Roman" w:hAnsi="Times New Roman" w:eastAsia="Times New Roman"/>
          <w:sz w:val="24"/>
        </w:rPr>
        <w:t>&lt;!-- Note (markdown source): Funding, competing interests, ethics, authors' contributions, data availability, and acknowledgments are rendered in the Author Note / Declarations section of the docx by build_docx.py / build_ieee_docx.py from constants in those scripts; they do not need to be repeated in this markdown file. --&gt;</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ind w:firstLine="720"/>
      </w:pPr>
      <w:r>
        <w:rPr>
          <w:rFonts w:ascii="Times New Roman" w:hAnsi="Times New Roman" w:eastAsia="Times New Roman"/>
          <w:sz w:val="24"/>
        </w:rPr>
        <w:t>Workplace harassment imposes substantial mental-health and labor-supply costs in industrialized economies, and Japan is a particularly informative setting because the Ministry of Health, Labour and Welfare (MHLW) has documented a 13.2-percentage-point decline in past-three-year power-harassment victimization (32.5% in FY2016 → 19.3% in FY2023) over the period spanning enforcement of the 2020 Power Harassment Prevention Law (MHLW, 2017, 2024). This temporal pattern raises a fundamental question for occupational psychology: when both individual personality traits and organizational structures predict harassment exposure, which side of the person–environment ledger contributes more to population-level prevalence change?</w:t>
      </w:r>
    </w:p>
    <w:p>
      <w:pPr>
        <w:spacing w:line="480" w:lineRule="auto" w:before="0" w:after="0"/>
        <w:ind w:firstLine="720"/>
      </w:pPr>
      <w:r>
        <w:rPr>
          <w:rFonts w:ascii="Times New Roman" w:hAnsi="Times New Roman" w:eastAsia="Times New Roman"/>
          <w:sz w:val="24"/>
        </w:rPr>
        <w:t>The present study addresses this question with a pre-registered counterfactual microsimulation that emulates a target trial of three interventions — two acting on personality (HEXACO Honesty-Humility, Agreeableness, Emotionality) and one acting on cell-level structural propensity. Under prior meta-analytic effect-size calibrations for each intervention type, the analysis classifies the configuration as REVERSAL: the structural-intervention contrast is approximately five-fold larger in absolute magnitude than the personality-intervention contrast.</w:t>
      </w:r>
    </w:p>
    <w:p>
      <w:pPr>
        <w:spacing w:line="480" w:lineRule="auto" w:before="0" w:after="0"/>
        <w:ind w:firstLine="720"/>
      </w:pPr>
      <w:r>
        <w:rPr>
          <w:rFonts w:ascii="Times New Roman" w:hAnsi="Times New Roman" w:eastAsia="Times New Roman"/>
          <w:sz w:val="24"/>
        </w:rPr>
        <w:t>The remainder of this paper unfolds as follows. Section II reviews the relevant background — the public-health framing of workplace harassment in Japan, the HEXACO 7-typology and its prior connection to harassment, microsimulation as a methodological bridge, the seven pre-registered hypotheses, and the study's contribution. Section III details the methods. Section IV reports the results. Section V discusses limitations and implications. Section VI concludes.</w:t>
      </w:r>
    </w:p>
    <w:p>
      <w:pPr>
        <w:spacing w:line="480" w:lineRule="auto" w:before="0" w:after="0"/>
        <w:jc w:val="center"/>
      </w:pPr>
      <w:r>
        <w:rPr>
          <w:rFonts w:ascii="Times New Roman" w:hAnsi="Times New Roman" w:eastAsia="Times New Roman"/>
          <w:b/>
          <w:sz w:val="24"/>
        </w:rPr>
        <w:t>Background and History</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Purpose and significance of the present study</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Period (MHLW)</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Observed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Predicted</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56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FY2016 (32.5%, primary)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0.325</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[32.36, 59.30]</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FY2020 (31.4%, secondary)</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0.314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44.46%</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[30.00, 57.88]</w:t>
            </w:r>
          </w:p>
        </w:tc>
        <w:tc>
          <w:tcPr>
            <w:tcW w:type="dxa" w:w="15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FY2023 (19.3%, secondary)</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0.193</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0.1744</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9.65%</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[0.52, 31.52]</w:t>
            </w:r>
          </w:p>
        </w:tc>
        <w:tc>
          <w:tcPr>
            <w:tcW w:type="dxa" w:w="156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Family</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Value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Baseline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main_v2.0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[31.5, 59.5]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mean+0.25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29.58%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[13.7, 45.2]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Standard SUCCESS</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mean+0.5 SD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[30.5,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Binarization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mean+1.0 SD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48.95%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[34.0, 62.4]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45.04%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[43.8, 46.3]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Soft τ × median NN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45.24%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[43.9, 46.4]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[32.1, 58.7]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EB scale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2.0× pseudocount</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45.80%</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[32.3, 58.9]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56.47%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[42.8, 68.8]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 (main)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45.51%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[31.4, 59.2]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Cluster mass shift δ</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+0.10 high−low</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34.55%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[16.6, 51.8]</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Baseline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Description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MAPE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Uniform = MHLW grand mean</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[0.00, 0.00]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46.02%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[46.02, 46.02] (deterministic)</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HEXACO 6-domain logistic</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43.98%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[40.33, 47.35]</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14-cell conditional</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[46.34, 46.34] (deterministic)</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B4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Extended (age + age × cluster)</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47.04%</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Intervention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Operationalization</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 point</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95% CI</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Decision (CI excludes 0?)</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A</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+ 0.3σ; A ← A + 0.3σ; E ← E + 0.3σ)</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+0.0062]</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B</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do(HH := HH + 0.40σ_HH) for individuals whose baseline cluster ∈ {0, 4, 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−0.0059</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[−0.0207, +0.0066]</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No (null)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Counterfactual C</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do(P_{c, x} ← 0.80 × P_{c, x})</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[+0.0264, +0.0435]</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Factor F</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Anchor</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ΔP_A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ΔP_C (attenuated)</w:t>
            </w:r>
          </w:p>
        </w:tc>
        <w:tc>
          <w:tcPr>
            <w:tcW w:type="dxa" w:w="1872"/>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H7</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Conservative cross-cultural worst case</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−0.0018</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0.5</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Nielsen et al., 2017 expected</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−0.0031</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+0.0174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0.7</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Mild attenuation</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−0.0043</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+0.0244</w:t>
            </w:r>
          </w:p>
        </w:tc>
        <w:tc>
          <w:tcPr>
            <w:tcW w:type="dxa" w:w="187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r>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1.0</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Reference (no attenuation)</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−0.0061</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right"/>
            </w:pPr>
            <w:r>
              <w:rPr>
                <w:rFonts w:ascii="Times New Roman" w:hAnsi="Times New Roman" w:eastAsia="Times New Roman"/>
                <w:b w:val="0"/>
                <w:sz w:val="22"/>
              </w:rPr>
              <w:t>+0.0349</w:t>
            </w:r>
          </w:p>
        </w:tc>
        <w:tc>
          <w:tcPr>
            <w:tcW w:type="dxa" w:w="1872"/>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Hypothesis</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Pre-registered prediction</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Outcome</w:t>
            </w:r>
          </w:p>
        </w:tc>
        <w:tc>
          <w:tcPr>
            <w:tcW w:type="dxa" w:w="2340"/>
            <w:tcBorders>
              <w:top w:val="single" w:sz="4" w:space="0" w:color="000000"/>
              <w:left w:val="nil" w:sz="4" w:space="0" w:color="000000"/>
              <w:bottom w:val="single" w:sz="4" w:space="0" w:color="000000"/>
              <w:right w:val="nil" w:sz="4" w:space="0" w:color="000000"/>
              <w:insideH w:val="nil" w:sz="4" w:space="0" w:color="000000"/>
              <w:insideV w:val="nil" w:sz="4" w:space="0" w:color="000000"/>
            </w:tcBorders>
          </w:tcPr>
          <w:p>
            <w:pPr>
              <w:jc w:val="center"/>
            </w:pPr>
            <w:r>
              <w:rPr>
                <w:rFonts w:ascii="Times New Roman" w:hAnsi="Times New Roman" w:eastAsia="Times New Roman"/>
                <w:b/>
                <w:sz w:val="22"/>
              </w:rPr>
              <w:t>Tier</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H1</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MAPE_FY2016 ≤ 30% (Strict / Standard SUCCESS)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MAPE = 46.34%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PARTIAL SUCCESS</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Monotonic B0 &gt; B1 &gt; B2 &gt; B3 &gt; B4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0 of 4 pairs confirmed (Page's L p = 0.976)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H3</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Centroid concordance N=354 vs N=13,668</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Externally 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H4</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Per-cell propensity stability across bootstrap procedures</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13/14 cells resolved at BCa; 1 degenerate cell (X=0) at Clopper-Pearson per the pre-registered cascade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Gender invariance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CONFIRMED</w:t>
            </w:r>
          </w:p>
        </w:tc>
      </w:tr>
      <w:tr>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H6</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Power × gender harassment cluster ranking concordance</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Weak concordance (Spearman ρ = 0.04 at 7-cluster level, p = 0.94; ρ = 0.14 at 14-cell level, p = 0.62)</w:t>
            </w:r>
          </w:p>
        </w:tc>
        <w:tc>
          <w:tcPr>
            <w:tcW w:type="dxa" w:w="234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REJECTED</w:t>
            </w:r>
          </w:p>
        </w:tc>
      </w:tr>
      <w:tr>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H7</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IUT classification</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(robust across F = 0.3–1.0)</w:t>
            </w:r>
          </w:p>
        </w:tc>
        <w:tc>
          <w:tcPr>
            <w:tcW w:type="dxa" w:w="2340"/>
            <w:tcBorders>
              <w:top w:val="nil" w:sz="4" w:space="0" w:color="000000"/>
              <w:left w:val="nil" w:sz="4" w:space="0" w:color="000000"/>
              <w:bottom w:val="single" w:sz="4" w:space="0" w:color="000000"/>
              <w:right w:val="nil" w:sz="4" w:space="0" w:color="000000"/>
              <w:insideH w:val="nil" w:sz="4" w:space="0" w:color="000000"/>
              <w:insideV w:val="nil" w:sz="4" w:space="0" w:color="000000"/>
            </w:tcBorders>
          </w:tcPr>
          <w:p>
            <w:pPr>
              <w:jc w:val="left"/>
            </w:pPr>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