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Person-Level versus System-Level Anti-Harassment Interventions: A HEXACO 7-Typology Counterfactual Microsimulation in Japanese Workplaces</w:t>
      </w: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Tables</w:t>
      </w:r>
    </w:p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1. H1 Four-Tier Classification of Mean Absolute Percentage Error (MAPE) Across Three MHLW Validation Periods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i/>
          <w:sz w:val="24"/>
        </w:rPr>
        <w:t>Note</w:t>
      </w:r>
      <w:r>
        <w:rPr>
          <w:rFonts w:ascii="Times New Roman" w:hAnsi="Times New Roman" w:eastAsia="Times New Roman"/>
          <w:sz w:val="24"/>
        </w:rPr>
        <w:t>. Predicted values are computed via 14-cell HEXACO 7-typology × gender propensity weighted by Statistics Bureau (MIC) Labour Force Survey 2022 marginals. Bootstrap 95% CIs use B = 10,000 cell-stratified resamples per the pre-registered headline-bootstrap rule. Tier classification follows the pre-registered four-tier hierarchy.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Period (MHLW)</w:t>
            </w:r>
          </w:p>
        </w:tc>
        <w:tc>
          <w:tcPr>
            <w:tcW w:type="dxa" w:w="1560"/>
            <w:tcBorders>
              <w:top w:val="single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Observed</w:t>
            </w:r>
          </w:p>
        </w:tc>
        <w:tc>
          <w:tcPr>
            <w:tcW w:type="dxa" w:w="1560"/>
            <w:tcBorders>
              <w:top w:val="single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Predicted</w:t>
            </w:r>
          </w:p>
        </w:tc>
        <w:tc>
          <w:tcPr>
            <w:tcW w:type="dxa" w:w="1560"/>
            <w:tcBorders>
              <w:top w:val="single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MAPE</w:t>
            </w:r>
          </w:p>
        </w:tc>
        <w:tc>
          <w:tcPr>
            <w:tcW w:type="dxa" w:w="1560"/>
            <w:tcBorders>
              <w:top w:val="single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  <w:tc>
          <w:tcPr>
            <w:tcW w:type="dxa" w:w="1560"/>
            <w:tcBorders>
              <w:top w:val="single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Tier</w:t>
            </w:r>
          </w:p>
        </w:tc>
      </w:tr>
      <w:tr>
        <w:tc>
          <w:tcPr>
            <w:tcW w:type="dxa" w:w="156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FY2016 (32.5%, primary)</w:t>
            </w:r>
          </w:p>
        </w:tc>
        <w:tc>
          <w:tcPr>
            <w:tcW w:type="dxa" w:w="156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0.325</w:t>
            </w:r>
          </w:p>
        </w:tc>
        <w:tc>
          <w:tcPr>
            <w:tcW w:type="dxa" w:w="156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0.1744</w:t>
            </w:r>
          </w:p>
        </w:tc>
        <w:tc>
          <w:tcPr>
            <w:tcW w:type="dxa" w:w="156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46.34%</w:t>
            </w:r>
          </w:p>
        </w:tc>
        <w:tc>
          <w:tcPr>
            <w:tcW w:type="dxa" w:w="156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[32.36, 59.30]</w:t>
            </w:r>
          </w:p>
        </w:tc>
        <w:tc>
          <w:tcPr>
            <w:tcW w:type="dxa" w:w="156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PARTIAL SUCCESS</w:t>
            </w:r>
          </w:p>
        </w:tc>
      </w:tr>
      <w:tr>
        <w:tc>
          <w:tcPr>
            <w:tcW w:type="dxa" w:w="156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FY2020 (31.4%, secondary)</w:t>
            </w:r>
          </w:p>
        </w:tc>
        <w:tc>
          <w:tcPr>
            <w:tcW w:type="dxa" w:w="156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0.314</w:t>
            </w:r>
          </w:p>
        </w:tc>
        <w:tc>
          <w:tcPr>
            <w:tcW w:type="dxa" w:w="156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0.1744</w:t>
            </w:r>
          </w:p>
        </w:tc>
        <w:tc>
          <w:tcPr>
            <w:tcW w:type="dxa" w:w="156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44.46%</w:t>
            </w:r>
          </w:p>
        </w:tc>
        <w:tc>
          <w:tcPr>
            <w:tcW w:type="dxa" w:w="156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[30.00, 57.88]</w:t>
            </w:r>
          </w:p>
        </w:tc>
        <w:tc>
          <w:tcPr>
            <w:tcW w:type="dxa" w:w="156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PARTIAL SUCCESS</w:t>
            </w:r>
          </w:p>
        </w:tc>
      </w:tr>
      <w:tr>
        <w:tc>
          <w:tcPr>
            <w:tcW w:type="dxa" w:w="1560"/>
            <w:tcBorders>
              <w:top w:val="nil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FY2023 (19.3%, secondary)</w:t>
            </w:r>
          </w:p>
        </w:tc>
        <w:tc>
          <w:tcPr>
            <w:tcW w:type="dxa" w:w="1560"/>
            <w:tcBorders>
              <w:top w:val="nil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0.193</w:t>
            </w:r>
          </w:p>
        </w:tc>
        <w:tc>
          <w:tcPr>
            <w:tcW w:type="dxa" w:w="1560"/>
            <w:tcBorders>
              <w:top w:val="nil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0.1744</w:t>
            </w:r>
          </w:p>
        </w:tc>
        <w:tc>
          <w:tcPr>
            <w:tcW w:type="dxa" w:w="1560"/>
            <w:tcBorders>
              <w:top w:val="nil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9.65%</w:t>
            </w:r>
          </w:p>
        </w:tc>
        <w:tc>
          <w:tcPr>
            <w:tcW w:type="dxa" w:w="1560"/>
            <w:tcBorders>
              <w:top w:val="nil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[0.52, 31.52]</w:t>
            </w:r>
          </w:p>
        </w:tc>
        <w:tc>
          <w:tcPr>
            <w:tcW w:type="dxa" w:w="1560"/>
            <w:tcBorders>
              <w:top w:val="nil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Standard SUCCESS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2. One-at-a-Time (OAT) Sensitivity Sweep Around the Locked v2.0 Main Configuration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i/>
          <w:sz w:val="24"/>
        </w:rPr>
        <w:t>Note</w:t>
      </w:r>
      <w:r>
        <w:rPr>
          <w:rFonts w:ascii="Times New Roman" w:hAnsi="Times New Roman" w:eastAsia="Times New Roman"/>
          <w:sz w:val="24"/>
        </w:rPr>
        <w:t>. Each row varies the indicated parameter family while holding remaining parameters at the v2.0 main configuration. B = 2,000 percentile CIs reported on FY2016 MAPE.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Family</w:t>
            </w:r>
          </w:p>
        </w:tc>
        <w:tc>
          <w:tcPr>
            <w:tcW w:type="dxa" w:w="1872"/>
            <w:tcBorders>
              <w:top w:val="single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Value</w:t>
            </w:r>
          </w:p>
        </w:tc>
        <w:tc>
          <w:tcPr>
            <w:tcW w:type="dxa" w:w="1872"/>
            <w:tcBorders>
              <w:top w:val="single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MAPE</w:t>
            </w:r>
          </w:p>
        </w:tc>
        <w:tc>
          <w:tcPr>
            <w:tcW w:type="dxa" w:w="1872"/>
            <w:tcBorders>
              <w:top w:val="single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  <w:tc>
          <w:tcPr>
            <w:tcW w:type="dxa" w:w="1872"/>
            <w:tcBorders>
              <w:top w:val="single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Tier</w:t>
            </w:r>
          </w:p>
        </w:tc>
      </w:tr>
      <w:tr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Baseline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main_v2.0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[31.5, 59.5]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Binarization threshold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mean+0.25 SD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29.58%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[13.7, 45.2]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Standard SUCCESS</w:t>
            </w:r>
          </w:p>
        </w:tc>
      </w:tr>
      <w:tr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Binarization threshold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mean+0.5 SD (main)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[30.5, 59.2]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Binarization threshold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mean+1.0 SD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48.95%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[34.0, 62.4]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Soft-assignment τ × median NN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0.5×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45.04%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[43.8, 46.3]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Soft-assignment τ × median NN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1.0×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45.22%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[43.9, 46.5]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Soft-assignment τ × median NN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2.0×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45.24%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[43.9, 46.4]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EB shrinkage scale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0.5× pseudocount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45.90%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[32.1, 58.7]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EB shrinkage scale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1.0× (main)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[31.4, 59.0]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EB shrinkage scale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2.0× pseudocount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45.80%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[32.3, 58.9]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Cluster mass shift δ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−0.10 high−low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56.47%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[42.8, 68.8]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Cluster mass shift δ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0.0 (main)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[31.4, 59.2]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Cluster mass shift δ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+0.10 high−low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34.55%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[16.6, 51.8]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3. Baseline Comparison for H2 Ordinal Trend Hypothesis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i/>
          <w:sz w:val="24"/>
        </w:rPr>
        <w:t>Note</w:t>
      </w:r>
      <w:r>
        <w:rPr>
          <w:rFonts w:ascii="Times New Roman" w:hAnsi="Times New Roman" w:eastAsia="Times New Roman"/>
          <w:sz w:val="24"/>
        </w:rPr>
        <w:t xml:space="preserve">. B0 trivially attains MAPE = 0 by construction (its prediction equals MHLW grand mean). H2 was tested via Bonferroni-Holm-corrected pairwise inequalities at one-sided α = 0.05 and Page's L (1963) ordinal trend test as auxiliary. </w:t>
      </w:r>
      <w:r>
        <w:rPr>
          <w:rFonts w:ascii="Times New Roman" w:hAnsi="Times New Roman" w:eastAsia="Times New Roman"/>
          <w:b/>
          <w:sz w:val="24"/>
        </w:rPr>
        <w:t>0 of 4 pairs were confirmed</w:t>
      </w:r>
      <w:r>
        <w:rPr>
          <w:rFonts w:ascii="Times New Roman" w:hAnsi="Times New Roman" w:eastAsia="Times New Roman"/>
          <w:sz w:val="24"/>
        </w:rPr>
        <w:t xml:space="preserve">; Page's L statistic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0.9757. H2 decision: ambiguous_or_reversed. Baselines B0, B1, and B3 are deterministic functions of the realized cell counts under the cell-stratified bootstrap (their aggregation rules are closed-form given the cell partitions) and therefore yield zero-width bootstrap CIs by construction; B2 and B4 re-fit logistic-regression coefficients within each bootstrap replicate and accordingly show non-degenerate CIs.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Baseline</w:t>
            </w:r>
          </w:p>
        </w:tc>
        <w:tc>
          <w:tcPr>
            <w:tcW w:type="dxa" w:w="2340"/>
            <w:tcBorders>
              <w:top w:val="single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Description</w:t>
            </w:r>
          </w:p>
        </w:tc>
        <w:tc>
          <w:tcPr>
            <w:tcW w:type="dxa" w:w="2340"/>
            <w:tcBorders>
              <w:top w:val="single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MAPE</w:t>
            </w:r>
          </w:p>
        </w:tc>
        <w:tc>
          <w:tcPr>
            <w:tcW w:type="dxa" w:w="2340"/>
            <w:tcBorders>
              <w:top w:val="single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</w:tr>
      <w:tr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B0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Uniform = MHLW grand mean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0.00%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[0.00, 0.00] (deterministic)</w:t>
            </w:r>
          </w:p>
        </w:tc>
      </w:tr>
      <w:tr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B1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Gender-only logistic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46.02%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[46.02, 46.02] (deterministic)</w:t>
            </w:r>
          </w:p>
        </w:tc>
      </w:tr>
      <w:tr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B2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HEXACO 6-domain logistic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43.98%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[40.33, 47.35]</w:t>
            </w:r>
          </w:p>
        </w:tc>
      </w:tr>
      <w:tr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B3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14-cell conditional (main pipeline)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46.34%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[46.34, 46.34] (deterministic)</w:t>
            </w:r>
          </w:p>
        </w:tc>
      </w:tr>
      <w:tr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B4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Extended (age + age × cluster)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47.04%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[45.02, 49.05]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4. Counterfactual ΔP_x Estimates and H7 Intersection-Union Test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i/>
          <w:sz w:val="24"/>
        </w:rPr>
        <w:t>Note</w:t>
      </w:r>
      <w:r>
        <w:rPr>
          <w:rFonts w:ascii="Times New Roman" w:hAnsi="Times New Roman" w:eastAsia="Times New Roman"/>
          <w:sz w:val="24"/>
        </w:rPr>
        <w:t xml:space="preserve">. Counterfactual operationalization follows the pre-registered specification. Positive ΔP indicates </w:t>
      </w:r>
      <w:r>
        <w:rPr>
          <w:rFonts w:ascii="Times New Roman" w:hAnsi="Times New Roman" w:eastAsia="Times New Roman"/>
          <w:i/>
          <w:sz w:val="24"/>
        </w:rPr>
        <w:t>reduction</w:t>
      </w:r>
      <w:r>
        <w:rPr>
          <w:rFonts w:ascii="Times New Roman" w:hAnsi="Times New Roman" w:eastAsia="Times New Roman"/>
          <w:sz w:val="24"/>
        </w:rPr>
        <w:t xml:space="preserve"> in prevalence (sign convention). Bootstrap CIs use B = 2,000 cell-stratified resamples. The H7 IUT (Berger &amp; Hsu, 1996) computes one-sided 95% lower bounds L_BA and L_BC. Classification follows the pre-registered priority cascade: REVERSAL (priority 1) is triggered when point ΔP_B &lt; ΔP_A OR point ΔP_B &lt; ΔP_C; CONFIRMED requires L_BA &gt; 0 AND L_BC &gt; 0; PARTIAL requires exactly one of L_BA, L_BC &gt; 0; AMBIGUOUS otherwise.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Intervention</w:t>
            </w:r>
          </w:p>
        </w:tc>
        <w:tc>
          <w:tcPr>
            <w:tcW w:type="dxa" w:w="1872"/>
            <w:tcBorders>
              <w:top w:val="single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Operationalization</w:t>
            </w:r>
          </w:p>
        </w:tc>
        <w:tc>
          <w:tcPr>
            <w:tcW w:type="dxa" w:w="1872"/>
            <w:tcBorders>
              <w:top w:val="single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ΔP point</w:t>
            </w:r>
          </w:p>
        </w:tc>
        <w:tc>
          <w:tcPr>
            <w:tcW w:type="dxa" w:w="1872"/>
            <w:tcBorders>
              <w:top w:val="single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  <w:tc>
          <w:tcPr>
            <w:tcW w:type="dxa" w:w="1872"/>
            <w:tcBorders>
              <w:top w:val="single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CI excludes 0?</w:t>
            </w:r>
          </w:p>
        </w:tc>
      </w:tr>
      <w:tr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A (personality)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do(HH ← +0.3σ; A ← +0.3σ; E ← +0.3σ)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−0.0061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[−0.0207, +0.0062]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No (null)</w:t>
            </w:r>
          </w:p>
        </w:tc>
      </w:tr>
      <w:tr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B (targeted HH+ on low-prev clusters)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do(HH := HH + 0.40σ_HH) for individuals whose baseline cluster ∈ {0, 4, 6}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−0.0059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[−0.0207, +0.0066]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No (null)</w:t>
            </w:r>
          </w:p>
        </w:tc>
      </w:tr>
      <w:tr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C (structural)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do(P_{c, x} ← 0.80 × P_{c, x})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+0.0349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[+0.0264, +0.0435]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Yes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H7 IUT:</w:t>
      </w:r>
      <w:r>
        <w:rPr>
          <w:rFonts w:ascii="Times New Roman" w:hAnsi="Times New Roman" w:eastAsia="Times New Roman"/>
          <w:sz w:val="24"/>
        </w:rPr>
        <w:t xml:space="preserve"> L_BA = −0.0011, L_BC = −0.0544; point ΔP_B &lt; point ΔP_C triggers the pre-registered priority-1 condition → </w:t>
      </w:r>
      <w:r>
        <w:rPr>
          <w:rFonts w:ascii="Times New Roman" w:hAnsi="Times New Roman" w:eastAsia="Times New Roman"/>
          <w:b/>
          <w:sz w:val="24"/>
        </w:rPr>
        <w:t>REVERSAL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Positivity diagnostic (per the pre-registered positivity rule):</w:t>
      </w:r>
      <w:r>
        <w:rPr>
          <w:rFonts w:ascii="Times New Roman" w:hAnsi="Times New Roman" w:eastAsia="Times New Roman"/>
          <w:sz w:val="24"/>
        </w:rPr>
        <w:t xml:space="preserve"> Counterfactual A and C trivially preserve positivity. Counterfactual B's flagged-weight share = 44.5%; the pre-registered downgrade rule is triggered. We interpret B's null finding as exploratory rather than confirmatory.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5. Transportability Sensitivity (H7 Re-classification Across Cultural Attenuation Factors)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i/>
          <w:sz w:val="24"/>
        </w:rPr>
        <w:t>Note</w:t>
      </w:r>
      <w:r>
        <w:rPr>
          <w:rFonts w:ascii="Times New Roman" w:hAnsi="Times New Roman" w:eastAsia="Times New Roman"/>
          <w:sz w:val="24"/>
        </w:rPr>
        <w:t>. Each row applies factor F multiplicatively to the bootstrap distribution of all three ΔP_x; H7 IUT is re-classified per attenuated factor.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Factor F</w:t>
            </w:r>
          </w:p>
        </w:tc>
        <w:tc>
          <w:tcPr>
            <w:tcW w:type="dxa" w:w="1872"/>
            <w:tcBorders>
              <w:top w:val="single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Anchor</w:t>
            </w:r>
          </w:p>
        </w:tc>
        <w:tc>
          <w:tcPr>
            <w:tcW w:type="dxa" w:w="1872"/>
            <w:tcBorders>
              <w:top w:val="single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ΔP_A (att)</w:t>
            </w:r>
          </w:p>
        </w:tc>
        <w:tc>
          <w:tcPr>
            <w:tcW w:type="dxa" w:w="1872"/>
            <w:tcBorders>
              <w:top w:val="single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ΔP_C (att)</w:t>
            </w:r>
          </w:p>
        </w:tc>
        <w:tc>
          <w:tcPr>
            <w:tcW w:type="dxa" w:w="1872"/>
            <w:tcBorders>
              <w:top w:val="single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H7</w:t>
            </w:r>
          </w:p>
        </w:tc>
      </w:tr>
      <w:tr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0.3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Conservative cross-cultural worst case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−0.0018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+0.0105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  <w:tr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0.5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Nielsen et al., 2017 expected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−0.0031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+0.0174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  <w:tr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0.7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Mild attenuation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−0.0043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+0.0244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  <w:tr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1.0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Reference (no attenuation)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−0.0061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+0.0349</w:t>
            </w:r>
          </w:p>
        </w:tc>
        <w:tc>
          <w:tcPr>
            <w:tcW w:type="dxa" w:w="1872"/>
            <w:tcBorders>
              <w:top w:val="nil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6. Pre-Registered Hypothesis Outcomes Summary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i/>
          <w:sz w:val="24"/>
        </w:rPr>
        <w:t>Note</w:t>
      </w:r>
      <w:r>
        <w:rPr>
          <w:rFonts w:ascii="Times New Roman" w:hAnsi="Times New Roman" w:eastAsia="Times New Roman"/>
          <w:sz w:val="24"/>
        </w:rPr>
        <w:t>. Hypothesis classification follows the pre-registered specification (the four-tier hierarchy for H1 and the IUT priority cascade for H7).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Hypothesis</w:t>
            </w:r>
          </w:p>
        </w:tc>
        <w:tc>
          <w:tcPr>
            <w:tcW w:type="dxa" w:w="2340"/>
            <w:tcBorders>
              <w:top w:val="single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Pre-registered prediction</w:t>
            </w:r>
          </w:p>
        </w:tc>
        <w:tc>
          <w:tcPr>
            <w:tcW w:type="dxa" w:w="2340"/>
            <w:tcBorders>
              <w:top w:val="single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Outcome</w:t>
            </w:r>
          </w:p>
        </w:tc>
        <w:tc>
          <w:tcPr>
            <w:tcW w:type="dxa" w:w="2340"/>
            <w:tcBorders>
              <w:top w:val="single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Tier</w:t>
            </w:r>
          </w:p>
        </w:tc>
      </w:tr>
      <w:tr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H1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MAPE_FY2016 ≤ 30% (Strict / Standard SUCCESS)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MAPE = 46.34%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PARTIAL SUCCESS</w:t>
            </w:r>
          </w:p>
        </w:tc>
      </w:tr>
      <w:tr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H2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Monotonic B0 &gt; B1 &gt; B2 &gt; B3 &gt; B4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0 of 4 pairs confirmed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REJECTED</w:t>
            </w:r>
          </w:p>
        </w:tc>
      </w:tr>
      <w:tr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H3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Centroid concordance N=354 vs N=13,668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Externally validated in Tokiwa (2026) on the N=13,668 source sample; not separately re-tested in the present N=354 pipeline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EXTERNALLY CONFIRMED</w:t>
            </w:r>
          </w:p>
        </w:tc>
      </w:tr>
      <w:tr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H4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Per-cell propensity stability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13/14 cells resolved at BCa; 1 (X=0) at Clopper-Pearson per the pre-registered cascade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CONFIRMED</w:t>
            </w:r>
          </w:p>
        </w:tc>
      </w:tr>
      <w:tr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H5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Gender invariance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Spearman ρ(female, male) = 0.87 across 7 clusters (p = 0.01). The 14-cell vs 28-cell sensitivity (28-cell adds × 2 roles, not a re-split of gender) is reported as a robustness check on role-stratification stability rather than as a re-test of gender invariance.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CONFIRMED</w:t>
            </w:r>
          </w:p>
        </w:tc>
      </w:tr>
      <w:tr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H6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Power × gender harassment cluster ranking concordance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Spearman ρ = 0.04 (7-cluster) / 0.14 (14-cell), both p &gt; 0.6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REJECTED</w:t>
            </w:r>
          </w:p>
        </w:tc>
      </w:tr>
      <w:tr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H7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IUT classification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REVERSAL (robust F=0.3–1.0)</w:t>
            </w:r>
          </w:p>
        </w:tc>
        <w:tc>
          <w:tcPr>
            <w:tcW w:type="dxa" w:w="2340"/>
            <w:tcBorders>
              <w:top w:val="nil" w:sz="4" w:space="0" w:color="000000"/>
              <w:left w:val="nil" w:sz="4" w:space="0" w:color="000000"/>
              <w:bottom w:val="single" w:sz="4" w:space="0" w:color="000000"/>
              <w:right w:val="nil" w:sz="4" w:space="0" w:color="000000"/>
              <w:insideH w:val="nil" w:sz="4" w:space="0" w:color="000000"/>
              <w:insideV w:val="nil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All figures are saved at 300 DPI in PNG and PDF formats; vector versions (SVG) are also produced for journal submission. PNG embeds are used in </w:t>
      </w:r>
      <w:r>
        <w:rPr>
          <w:rFonts w:ascii="Times New Roman" w:hAnsi="Times New Roman" w:eastAsia="Times New Roman"/>
          <w:sz w:val="24"/>
        </w:rPr>
        <w:t>manuscript_preprint.docx</w:t>
      </w:r>
      <w:r>
        <w:rPr>
          <w:rFonts w:ascii="Times New Roman" w:hAnsi="Times New Roman" w:eastAsia="Times New Roman"/>
          <w:sz w:val="24"/>
        </w:rPr>
        <w:t xml:space="preserve"> and </w:t>
      </w:r>
      <w:r>
        <w:rPr>
          <w:rFonts w:ascii="Times New Roman" w:hAnsi="Times New Roman" w:eastAsia="Times New Roman"/>
          <w:sz w:val="24"/>
        </w:rPr>
        <w:t>manuscript_journal.docx</w:t>
      </w:r>
      <w:r>
        <w:rPr>
          <w:rFonts w:ascii="Times New Roman" w:hAnsi="Times New Roman" w:eastAsia="Times New Roman"/>
          <w:sz w:val="24"/>
        </w:rPr>
        <w:t>; PDF/SVG accompany the journal submission as separate files (per RSOS Stage 2 RR submission requirements).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jc w:val="left"/>
    </w:pPr>
    <w:r>
      <w:rPr>
        <w:rFonts w:ascii="Times New Roman" w:hAnsi="Times New Roman" w:eastAsia="Times New Roman"/>
        <w:b w:val="0"/>
        <w:sz w:val="24"/>
      </w:rPr>
      <w:t>HEXACO COUNTERFACTUAL MICROSIMULATION</w:t>
    </w:r>
    <w:r>
      <w:rPr>
        <w:rFonts w:ascii="Times New Roman" w:hAnsi="Times New Roman" w:eastAsia="Times New Roman"/>
        <w:sz w:val="24"/>
      </w:rPr>
      <w:tab/>
    </w:r>
    <w:r>
      <w:rPr>
        <w:rFonts w:ascii="Times New Roman" w:hAnsi="Times New Roman" w:eastAsia="Times New Roman"/>
        <w:sz w:val="24"/>
      </w:rPr>
      <w:fldChar w:fldCharType="begin"/>
      <w:instrText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