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03,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Acta Psychologica (Elsevier)</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Acta Psychologica.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Across models, psychopathy is a consistent positive predictor of power harassment (β = .32–.40, p &lt; .001), whereas Honesty–Humility is negatively associated (β = −.14, p = .049). For gender harassment, narcissism and psychopathy are positive predictors, while Honesty–Humility (β = −.23, p &lt; .001) and Openness (β = −.24, p &lt; .001) are negative predictors; Machiavellianism shows a negative coefficient consistent with a statistical suppression pattern once variance shared with narcissism and psychopathy is partialed out. Adding HEXACO yields meaningful incremental variance (ΔR² = .032, p = .036 for power harassment; ΔR² = .096, p &lt; .001 for gender harassment), informing tentative implications for harassment-prevention frameworks rather than deterministic personnel-selection rules.</w:t>
      </w:r>
    </w:p>
    <w:p>
      <w:pPr>
        <w:spacing w:after="120" w:line="276" w:lineRule="auto"/>
        <w:jc w:val="left"/>
      </w:pPr>
      <w:r>
        <w:rPr>
          <w:rFonts w:ascii="Calibri" w:hAnsi="Calibri"/>
          <w:b/>
          <w:sz w:val="22"/>
        </w:rPr>
        <w:t>Fit with Acta Psychologica.</w:t>
      </w:r>
      <w:r>
        <w:rPr>
          <w:rFonts w:ascii="Calibri" w:hAnsi="Calibri"/>
          <w:sz w:val="22"/>
        </w:rPr>
        <w:t xml:space="preserve"> Acta Psychologica has a long-standing record of publishing individual-differences research that bridges personality structure and applied behavioural outcomes. The present manuscript addresses the journal’s core interest in rigorous correlational psychology by quantifying incremental validity of the HEXACO model relative to the Dark Triad in a non-Western sample — an underrepresented context in the individual-differences literature.</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Informed consent was obtained from all participants; data were anonymised and stored securely. The author declares no conflicts of interest and reports no external funding.</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Elsevier submission requirements are addressed: ORCID, structured declarations, data availability, and CRediT statement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