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(independent researcher; correspondence c/o SUNBLAZE Co., Ltd., Tokyo, Japan; ORCID 0009-0009-7124-6669;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Reporting standard</w:t>
      </w:r>
      <w:r>
        <w:rPr>
          <w:rFonts w:ascii="Times New Roman" w:hAnsi="Times New Roman" w:eastAsia="Times New Roman"/>
          <w:sz w:val="24"/>
        </w:rPr>
        <w:t xml:space="preserve">: Stage 2 Registered Report (post-data) following the v2.0 pre-registration </w:t>
      </w:r>
      <w:r>
        <w:rPr>
          <w:rFonts w:ascii="Times New Roman" w:hAnsi="Times New Roman" w:eastAsia="Times New Roman"/>
          <w:b/>
          <w:sz w:val="24"/>
        </w:rPr>
        <w:t>Funding and competing interests</w:t>
      </w:r>
      <w:r>
        <w:rPr>
          <w:rFonts w:ascii="Times New Roman" w:hAnsi="Times New Roman" w:eastAsia="Times New Roman"/>
          <w:sz w:val="24"/>
        </w:rPr>
        <w:t xml:space="preserve">: This study received no external grant funding and no internal SUNBLAZE Co., Ltd. funding; the author conducted the research as an independent academic project. The author is the representative of SUNBLAZE Co., Ltd. (Tokyo, Japan), which provides HEXACO-JP, a proprietary Japanese-language HEXACO-based personality assessment service. </w:t>
      </w:r>
      <w:r>
        <w:rPr>
          <w:rFonts w:ascii="Times New Roman" w:hAnsi="Times New Roman" w:eastAsia="Times New Roman"/>
          <w:b/>
          <w:sz w:val="24"/>
        </w:rPr>
        <w:t>This affiliation is a potential competing interest and is disclosed accordingly.</w:t>
      </w:r>
      <w:r>
        <w:rPr>
          <w:rFonts w:ascii="Times New Roman" w:hAnsi="Times New Roman" w:eastAsia="Times New Roman"/>
          <w:sz w:val="24"/>
        </w:rPr>
        <w:t xml:space="preserv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fund, sponsor, or direct the research. (iii) The empirical findings of the present study — a null personality-intervention contrast and a substantively reframed reading of HEXACO 7-typology as a stratification variable rather than an intervention or screening target — do not differentially favor commercial HEXACO-based assessment products.</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