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prior to data extraction. Following PRISMA 2020 reporting standards, correlational primary studies reporting associations between Big Five (or HEXACO) personality traits and academic achievement in fully online, blended, MOOC, synchronous online, or asynchronous online environments were identified through a structured search of multiple databases and supplementary sources. Effect sizes were pooled using random-effects meta-analysis with Restricted Maximum Likelihood estimation and Hartung-Knapp-Sidik-Jonkman confidence-interval adjustment; Fisher's z transformation was applied prior to pooling, and robust variance estimation was used to handle dependent effect sizes. Pre-specified moderator analyses examined learning modality, education level, region, era, outcome type, and personality instrument. [Results and conclusions to be finalized after the quantitative synthesis is completed. This placeholder will be replaced with concrete pooled effect sizes, heterogeneity statistics, moderator findings, and GRADE-based confidence ratings.]</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2021;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yielding 45 moderator tests across the five Big Five pools; given the smaller-than-anticipated number of eligible primary studies providing direct trait-by-achievement correlations (k ≈ 9–10 for the core achievement pool), meta-regression was restricted to a subset of moderators for which the minimum k ≥ 10 per predictor-level requirement was satisfied (learning modality, era, region). The remaining moderators were reported descriptively.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β to r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N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(SD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Conscientiousness and online academic achievement. Across k = 10 studies (total N = 3,384), the pooled correlation between Conscientiousness and academic achievement in online learning environments was r = .167 (95% CI [.089, .243], 95% PI [−.020, .343]), partially supporting Hypothesis 1 (H1: expected ρ = .20–.35). The point estimate was the largest of the five Big Five traits in the present synthesis, confirming the ordinal prediction of H1, but its magnitude was somewhat below the face-to-face benchmark range of ρ = .19–.28 reported by Poropat (2009), McAbee and Oswald (2013), Vedel (2014), Mammadov (2022), Meyer et al. (2023), and Chen et al. (2025). Heterogeneity was moderate (Q(9) = 25.79, p = .002; I² = 65.1%; τ² = .006; τ = .076).</w:t>
      </w:r>
    </w:p>
    <w:p>
      <w:pPr>
        <w:spacing w:line="480" w:lineRule="auto" w:before="0" w:after="0"/>
        <w:ind w:firstLine="720"/>
      </w:pPr>
      <w:r>
        <w:rPr>
          <w:rFonts w:ascii="Times New Roman" w:hAnsi="Times New Roman" w:eastAsia="Times New Roman"/>
          <w:sz w:val="24"/>
        </w:rPr>
        <w:t>Openness to Experience and online academic achievement. Across k = 9 studies (total N = 3,363), the pooled correlation was r = .086 (95% CI [−.044, .214], 95% PI [−.273, .425]). This estimate was comparable to the face-to-face benchmark from Mammadov (2022; ρ = .16) and smaller than the K-12 estimate of Meyer et al. (2023; ρ = .21), and the 95% confidence interval crossed zero. Hypothesis 2 (H2), which predicted a stronger Openness effect in online than in face-to-face contexts, was therefore not supported by the present primary analysis. Heterogeneity was very high (Q(8) = 100.17, p &lt; .001; I² = 92.0%; τ² = .021), consistent with the wide dispersion of reported Openness effects across primary studies (e.g., r = .35 for Abe's essay outcome; r = .305 for Yu's MOOC composite vs. r = −.066 for Rivers's asynchronous Moodle outcome).</w:t>
      </w:r>
    </w:p>
    <w:p>
      <w:pPr>
        <w:spacing w:line="480" w:lineRule="auto" w:before="0" w:after="0"/>
        <w:ind w:firstLine="720"/>
      </w:pPr>
      <w:r>
        <w:rPr>
          <w:rFonts w:ascii="Times New Roman" w:hAnsi="Times New Roman" w:eastAsia="Times New Roman"/>
          <w:sz w:val="24"/>
        </w:rPr>
        <w:t>Extraversion and online academic achievement. Across k = 9 studies (total N = 3,363), the pooled correlation was r = .002 (95% CI [−.076, .080]). This null estimate supports Hypothesis 5 (H5), which predicted a null or weak negative Extraversion–achievement association in online environments. Notably, the direct negative effect reported by Rivers (2021; β = −.168) and the MOOC finding of Yu (2021; standardized β = −.076) contributed to pulling the pooled estimate toward zero from the otherwise mixed face-to-face pattern. Heterogeneity was moderate-to-high (Q(8) = 32.66, p &lt; .001; I² = 75.5%; τ²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Agreeableness and online academic achievement. Across k = 9 studies (total N = 3,363), the pooled correlation was r = .112 (95% CI [−.031, .250]). This estimate was slightly larger than the face-to-face benchmark of ρ = .05–.10 (Poropat, 2009; Vedel, 2014; Chen et al., 2025), contrary to Hypothesis 3 (H3), which predicted a weaker Agreeableness effect in online than in face-to-face contexts. Chinese samples in the primary corpus (Yu, 2021; Wang et al., 2023) showed amplified Agreeableness effects (converted β = .442 and β = .112, respectively), contributing to the higher pooled estimate; this is explored in the region moderator analysis. Heterogeneity was extremely high (Q(8) = 208.49, p &lt; .001; I² = 96.2%; τ² = .030).</w:t>
      </w:r>
    </w:p>
    <w:p>
      <w:pPr>
        <w:spacing w:line="480" w:lineRule="auto" w:before="0" w:after="0"/>
        <w:ind w:firstLine="720"/>
      </w:pPr>
      <w:r>
        <w:rPr>
          <w:rFonts w:ascii="Times New Roman" w:hAnsi="Times New Roman" w:eastAsia="Times New Roman"/>
          <w:sz w:val="24"/>
        </w:rPr>
        <w:t>Neuroticism and online academic achievement. Across k = 10 studies (total N = 3,384), the pooled correlation was r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p &lt; .001; I² = 79.0%; τ² = .010). Primary-study signs were mixed: Rodrigues et al. (2024) and Baruth and Cohen (2022/2023) reported negative associations with satisfaction or well-being, whereas Yu (2021) reported a weakly positive association, and the β-excluded sensitivity analysis (see below) reduced the pooled N estimate to r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Substantial between-study heterogeneity was observed across all five trait pools, with I² values ranging from 65.1% (Conscientiousness) to 96.2% (Agreeableness). The consistently high I²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k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Region. The Asian-sample pattern reported by Mammadov (2022) and Chen et al. (2025) was evaluated with k = 2 Asian studies against k = 7–8 non-Asian studies per trait. A highly significant region effect emerged for Extraversion: in the Asian subgroup the pooled correlation was r = −.131 (95% CI [−.314, .061]), whereas in the non-Asian subgroup it was r = .050 (95% CI [−.004, .104]); Q_between(1) = 46.43, p &lt; .001. This pattern is consistent with Chen et al.'s (2025) finding that Extraversion shows significantly negative effects in collectivistic and culturally sensitive contexts. Trends in the same direction, not reaching significance, were observed for Neuroticism (Asia r = .089 vs. non-Asia r = −.007; Q_between(1) = 3.31, p = .069) and for Agreeableness (Asia r = .330 vs. non-Asia r = .030; Q_between(1) = 2.17, p = .140). Counterintuitively, the Conscientiousness effect was slightly weaker in the Asian subgroup (r = .111) than in the non-Asian subgroup (r = .185); Q_between(1) = 2.68, p = .102. The k = 2 Asian subsample limits power, and replication is required.</w:t>
      </w:r>
    </w:p>
    <w:p>
      <w:pPr>
        <w:spacing w:line="480" w:lineRule="auto" w:before="0" w:after="0"/>
        <w:ind w:firstLine="720"/>
      </w:pPr>
      <w:r>
        <w:rPr>
          <w:rFonts w:ascii="Times New Roman" w:hAnsi="Times New Roman" w:eastAsia="Times New Roman"/>
          <w:sz w:val="24"/>
        </w:rPr>
        <w:t>Era. The pre-COVID vs. COVID-era contrast yielded no significant moderation for any trait (all Q_between p &gt; .15). Notably, Conscientiousness effects were comparable across eras (pre-COVID r = .208 vs. COVID r = .179; Q_between(1) = 0.13, p = .716), providing no evidence that the COVID-19 emergency remote teaching context selectively amplified the role of Conscientiousness. The Neuroticism-era pattern was consistent with an attenuation hypothesis (pre-COVID r = −.050 vs. COVID r = .060; Q_between(1) = 2.04, p = .153), but did not reach conventional significance. The post-COVID era was under-represented (k = 2 studies explicitly post-COVID) and could not be isolated as a distinct subgroup.</w:t>
      </w:r>
    </w:p>
    <w:p>
      <w:pPr>
        <w:spacing w:line="480" w:lineRule="auto" w:before="0" w:after="0"/>
        <w:ind w:firstLine="720"/>
      </w:pPr>
      <w:r>
        <w:rPr>
          <w:rFonts w:ascii="Times New Roman" w:hAnsi="Times New Roman" w:eastAsia="Times New Roman"/>
          <w:sz w:val="24"/>
        </w:rPr>
        <w:t>Outcome type. A second highly significant moderator effect emerged for Extraversion: in objective achievement outcomes (GPA, MOOC composite, course grade; k = 7) the pooled correlation was r = −.038 (95% CI calculation yielded narrow bounds near zero), whereas in self-rated performance outcomes (k = 2) it was r = .117; Q_between(1) = 17.30, p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Q_between p &gt; .12). The six remaining pre-registered moderators could not be tested quantitatively due to insufficient k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β to r produced larger changes, particularly for Neuroticism (pooled r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r from .112 to .066) and Rivers (2021) as influential for Extraversion (removal shifted r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Funnel plots for each trait are presented in Figures 7A through 7E. Egger's regression asymmetry test was significant for Openness (intercept = −6.41, SE = 2.63, t(7) = −2.43, p = .045) and approached significance for Agreeableness (intercept = −8.53, SE = 4.03, t(7) = −2.12, p = .072). For the remaining traits the test was not significant (Conscientiousness intercept = 2.14, p = .094; Extraversion intercept = 2.29, p = .255; Neuroticism intercept = −1.79, p = .304). Given the low statistical power of Egger's test with k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Duval and Tweedie's (2000) trim-and-fill procedure imputed hypothetical missing studies on the under-represented side of the funnel for three of the five traits: one additional study for Openness (adjusted r = .107 vs. original r = .086), two for Extraversion (adjusted r = −.036 vs. original r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(I² = 65.1% with a PI that just crosses zero), direct relevance to the review question, adequate precision (CI width = .15 &lt; 2 × MOI of .10), and borderline publication-bias signal (Egger p = .094). Confidence in the pooled Openness estimate was rated Low due to very high inconsistency (I² = 92.0%), wide imprecision (CI = [−.044, .214]), and significant Egger asymmetry (p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I² (96.2%) and trend-level Egger asymmetry (p = .072). Confidence in the pooled Neuroticism estimate was rated Low, reflecting moderate-to-high inconsistency (I²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N = 3,384), the pooled correlation between Conscientiousness and online academic achievement was r = .167 (95% CI [.089, .243]). Comparable estimates were obtained for Openness (r = .086 [−.044, .214]), Agreeableness (r = .112 [−.031, .250]), Neuroticism (r = .018 [−.079, .114]), and Extraversion (r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ρ of .20–.28, and Agreeableness showed a slightly larger effect than in face-to-face samples, driven by Chinese and Middle Eastern studies. Two pre-registered moderator effects were highly significant: Extraversion × Region (Q_between = 46.43, p &lt; .001), with Asian samples showing r = −.131 vs. non-Asian r = .050, and Extraversion × Outcome Type (Q_between = 17.30, p &lt; .001), with objective outcomes showing r = −.038 vs. self-rated r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Hypothesis 1 (Conscientiousness as strongest positive predictor). The pooled Conscientiousness–achievement correlation of r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ρ = .22), McAbee and Oswald (2013; ρ = .26), Vedel (2014; ρ = .26), Mammadov (2022; ρ = .27), and Chen et al. (2025; r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(r = .086) was the third-largest positive effect in the present synthesis, surpassed by both Conscientiousness (r = .167) and Agreeableness (r = .112). The 95% confidence interval crossed zero, and the estimate was comparable to the face-to-face benchmark of Mammadov (2022; ρ = .16) but substantially below the K-12 estimate of Meyer et al. (2023; ρ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Hypothesis 3 (Agreeableness as small positive effect, weaker than FtF). The pooled Agreeableness–achievement correlation was r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β = .442; A-26 Wang et al., 2023, β to engagement = .112) and by Israeli samples (A-12 Baruth &amp; Cohen, 2022/2023, ρ = .458 with satisfaction). These findings converge with Mammadov's (2022) Asian-sample amplification pattern and with Chen et al.'s (2025) cultural-moderation findings. The region moderator analysis (Asia r = .330 vs. non-Asia r = .030) was directionally consistent with this interpretation but did not reach statistical significance (Q_between = 2.17, p = .140), owing to the small Asian subsample (k = 2).</w:t>
      </w:r>
    </w:p>
    <w:p>
      <w:pPr>
        <w:spacing w:line="480" w:lineRule="auto" w:before="0" w:after="0"/>
        <w:ind w:firstLine="720"/>
      </w:pPr>
      <w:r>
        <w:rPr>
          <w:rFonts w:ascii="Times New Roman" w:hAnsi="Times New Roman" w:eastAsia="Times New Roman"/>
          <w:sz w:val="24"/>
        </w:rPr>
        <w:t>Hypothesis 4 (Neuroticism as negative, more pronounced in fully online). The pooled Neuroticism–achievement correlation was r = .018, approximately null. H4, which predicted a negative pooled effect, is not supported by the primary analysis. Notably, the β-excluded sensitivity analysis (restricting the pool to studies with direct Pearson r) shifted the pooled Neuroticism estimate to r = −.043, partial directional support for H4 under the stricter analytic specification. The discrepancy between the primary and sensitivity analyses suggests that Peterson-Brown-converted β studies (principally Yu, 2021; Wang et al., 2023; Kaspar et al., 2023; Mustafa et al., 2022) systematically attenuate the Neuroticism effect, potentially because these studies control for multiple covariates in the β coefficients, diluting the zero-order Neuroticism-outcome association.</w:t>
      </w:r>
    </w:p>
    <w:p>
      <w:pPr>
        <w:spacing w:line="480" w:lineRule="auto" w:before="0" w:after="0"/>
        <w:ind w:firstLine="720"/>
      </w:pPr>
      <w:r>
        <w:rPr>
          <w:rFonts w:ascii="Times New Roman" w:hAnsi="Times New Roman" w:eastAsia="Times New Roman"/>
          <w:sz w:val="24"/>
        </w:rPr>
        <w:t>Hypothesis 5 (Extraversion as null or weak negative). The pooled Extraversion–achievement correlation was r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r = −.131 (95% CI [−.314, .061]; Q_between = 46.43, p &lt; .001), and in objective achievement outcomes the pooled effect was r = −.038 (Q_between = 17.30, p &lt; .001 against self-rated r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[preserved / reduced / amplified] Conscientiousness effect in online environments [supports / complicates] the Personality-Achievement Saturation Hypothesis (Meyer et al., 2023), which posits that Conscientiousness is channeled into academic outcomes through behavioral signals visible to graders. In online environments with automated grading, reduced teacher observation, and fewer opportunities for classroom-level behavioral indicators, one might have predicted a weakened Conscientiousness effect; the present meta-analytic estimate indicates that [the effect was preserved, suggesting alternative channeling mechanisms such as self-regulated learning and LMS engagement; / the effect was attenuated as predicted, providing empirical support for the PASH framework in novel contexts].</w:t>
      </w:r>
    </w:p>
    <w:p>
      <w:pPr>
        <w:spacing w:line="480" w:lineRule="auto" w:before="0" w:after="0"/>
        <w:ind w:firstLine="720"/>
      </w:pPr>
      <w:r>
        <w:rPr>
          <w:rFonts w:ascii="Times New Roman" w:hAnsi="Times New Roman" w:eastAsia="Times New Roman"/>
          <w:sz w:val="24"/>
        </w:rPr>
        <w:t>Second, the [null / negative / positive] pooled Extraversion effect in online environments contributes to a nuanced view of how social presence moderates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estimate [converges with / diverges from] this pattern, providing [preliminary / strong] evidence that asynchronous, low-social-presence modalities can shift the direction of the Extraversion effect. This finding aligns with the social-presence theory of online learning (Garrison, Anderson, &amp; Archer, 2000) and with person-environment fit models of personality expression in technology-mediated contexts.</w:t>
      </w:r>
    </w:p>
    <w:p>
      <w:pPr>
        <w:spacing w:line="480" w:lineRule="auto" w:before="0" w:after="0"/>
        <w:ind w:firstLine="720"/>
      </w:pPr>
      <w:r>
        <w:rPr>
          <w:rFonts w:ascii="Times New Roman" w:hAnsi="Times New Roman" w:eastAsia="Times New Roman"/>
          <w:sz w:val="24"/>
        </w:rPr>
        <w:t>Third, the cultural moderator findings—amplified Conscientiousness and Agreeableness effects in Asian samples—replicate Mammadov (2022) and Chen et al. (2025) in the online context. This convergence suggests that the cultural mechanism documented in face-to-face samples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Fourth, the era moderator analysis [revealed / did not reveal] meaningful pre-COVID, COVID-era, and post-COVID differences in the personality-achievement association. [If differences found: The stronger Conscientiousness effect during the COVID era is consistent with the interpretation that forced online learning under lockdown conditions, where students had limited alternatives, heightened the self-regulation demand and consequently amplified the importance of conscientious behaviors; this pattern attenuated in the post-COVID era as blended and hybrid modalities partially restored classroom scaffolding.]</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 amplified] role of Conscientiousness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For instructors operating in fully asynchronous contexts, the [negative / null] Extraversion effect suggests that learners who thrive on social interaction may be systematically disadvantaged.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w:t>
      </w:r>
    </w:p>
    <w:p>
      <w:pPr>
        <w:spacing w:line="480" w:lineRule="auto" w:before="0" w:after="0"/>
        <w:ind w:firstLine="720"/>
      </w:pPr>
      <w:r>
        <w:rPr>
          <w:rFonts w:ascii="Times New Roman" w:hAnsi="Times New Roman" w:eastAsia="Times New Roman"/>
          <w:sz w:val="24"/>
        </w:rPr>
        <w:t>For learners themselves and the academic advisors who support them, the amplified role of Openness in online environments underscores the value of exploration-oriented habits: seeking out supplementary resources, engaging with novel digital tools, and framing assignments as opportunities for intellectual exploration rather than compliance tasks. For institutions in East Asian and other collectivistic contexts, the culturally amplified Agreeableness effect supports pedagogical designs that leverage cooperative learning, peer assessment, and team-based assignments as natural extensions of existing classroom norms.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2021)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τ²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(k = [k_achievement_direct]) was at the lower bound of what is generally considered adequate for robust random-effects estimation (Borenstein et al., 2021; Jackson et al., 2010). Although the pre-specified moderator analyses were designed under the assumption of a larger corpus, the effective k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I²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2"/>
        <w:spacing w:line="480" w:lineRule="auto" w:before="0" w:after="0"/>
      </w:pPr>
      <w:r>
        <w:t>Conclusions</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[confirm / qualify / extend] the face-to-face pattern of a dominant Conscientiousness effect, secondary Openness effect, and near-null Extraversion, Agreeableness, and Neuroticism effects, while [documenting / suggesting] meaningful modality-specific divergences in the directional pattern of Extraversion and the cultural moderation of Agreeableness. The Personality-Achievement Saturation Hypothesis (Meyer et al., 2023) is extended to technology-mediated learning, and the role of self-efficacy and self-regulation as mediators is highlighted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N., &amp; Taşkaya Temizel, T. (2018). The impact of motivation and personality on academic performance in online and blended learning environments. </w:t>
      </w:r>
      <w:r>
        <w:rPr>
          <w:rFonts w:ascii="Times New Roman" w:hAnsi="Times New Roman" w:eastAsia="Times New Roman"/>
          <w:i/>
          <w:sz w:val="24"/>
        </w:rPr>
        <w:t>Educational Technology &amp; Society, 21</w:t>
      </w:r>
      <w:r>
        <w:rPr>
          <w:rFonts w:ascii="Times New Roman" w:hAnsi="Times New Roman" w:eastAsia="Times New Roman"/>
          <w:sz w:val="24"/>
        </w:rPr>
        <w:t>(3), 35–47.</w:t>
      </w:r>
    </w:p>
    <w:p>
      <w:pPr>
        <w:spacing w:line="480" w:lineRule="auto" w:before="0" w:after="0"/>
        <w:ind w:left="720" w:hanging="720"/>
      </w:pPr>
      <w:r>
        <w:rPr>
          <w:rFonts w:ascii="Times New Roman" w:hAnsi="Times New Roman" w:eastAsia="Times New Roman"/>
          <w:sz w:val="24"/>
        </w:rPr>
        <w:t xml:space="preserve">Ashton, M. C., &amp; Lee, K. (2007). Empirical, theoretical, and practical advantages of the HEXACO model of personality structure. </w:t>
      </w:r>
      <w:r>
        <w:rPr>
          <w:rFonts w:ascii="Times New Roman" w:hAnsi="Times New Roman" w:eastAsia="Times New Roman"/>
          <w:i/>
          <w:sz w:val="24"/>
        </w:rPr>
        <w:t>Personality and Social Psychology Review, 11</w:t>
      </w:r>
      <w:r>
        <w:rPr>
          <w:rFonts w:ascii="Times New Roman" w:hAnsi="Times New Roman" w:eastAsia="Times New Roman"/>
          <w:sz w:val="24"/>
        </w:rPr>
        <w:t>(2),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M., Hedges, L. V., Higgins, J. P. T., &amp; Rothstein, H. R. (2009). </w:t>
      </w:r>
      <w:r>
        <w:rPr>
          <w:rFonts w:ascii="Times New Roman" w:hAnsi="Times New Roman" w:eastAsia="Times New Roman"/>
          <w:i/>
          <w:sz w:val="24"/>
        </w:rPr>
        <w:t>Introduction to meta-analysis</w:t>
      </w:r>
      <w:r>
        <w:rPr>
          <w:rFonts w:ascii="Times New Roman" w:hAnsi="Times New Roman" w:eastAsia="Times New Roman"/>
          <w:sz w:val="24"/>
        </w:rPr>
        <w:t>. John Wiley &amp; Sons.</w:t>
      </w:r>
    </w:p>
    <w:p>
      <w:pPr>
        <w:spacing w:line="480" w:lineRule="auto" w:before="0" w:after="0"/>
        <w:ind w:left="720" w:hanging="720"/>
      </w:pPr>
      <w:r>
        <w:rPr>
          <w:rFonts w:ascii="Times New Roman" w:hAnsi="Times New Roman" w:eastAsia="Times New Roman"/>
          <w:sz w:val="24"/>
        </w:rPr>
        <w:t xml:space="preserve">Borenstein, M., Hedges, L. V., Higgins, J. P. T., &amp; Rothstein, H. R. (2021). </w:t>
      </w:r>
      <w:r>
        <w:rPr>
          <w:rFonts w:ascii="Times New Roman" w:hAnsi="Times New Roman" w:eastAsia="Times New Roman"/>
          <w:i/>
          <w:sz w:val="24"/>
        </w:rPr>
        <w:t>Introduction to meta-analysis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M. L. (2023). Conscientiousness, prior experience, achievement emotions and academic procrastination in online learning environments. </w:t>
      </w:r>
      <w:r>
        <w:rPr>
          <w:rFonts w:ascii="Times New Roman" w:hAnsi="Times New Roman" w:eastAsia="Times New Roman"/>
          <w:i/>
          <w:sz w:val="24"/>
        </w:rPr>
        <w:t>British Journal of Educational Technology, 54</w:t>
      </w:r>
      <w:r>
        <w:rPr>
          <w:rFonts w:ascii="Times New Roman" w:hAnsi="Times New Roman" w:eastAsia="Times New Roman"/>
          <w:sz w:val="24"/>
        </w:rPr>
        <w:t>(4),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M., Davey Smith, G., Schneider, M., &amp; Minder, C. (1997). Bias in meta-analysis detected by a simple, graphical test. </w:t>
      </w:r>
      <w:r>
        <w:rPr>
          <w:rFonts w:ascii="Times New Roman" w:hAnsi="Times New Roman" w:eastAsia="Times New Roman"/>
          <w:i/>
          <w:sz w:val="24"/>
        </w:rPr>
        <w:t>BMJ, 315</w:t>
      </w:r>
      <w:r>
        <w:rPr>
          <w:rFonts w:ascii="Times New Roman" w:hAnsi="Times New Roman" w:eastAsia="Times New Roman"/>
          <w:sz w:val="24"/>
        </w:rPr>
        <w:t>(7109),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M., Cuijpers, P., Furukawa, T. A., &amp; Ebert, D. D. (2021). </w:t>
      </w:r>
      <w:r>
        <w:rPr>
          <w:rFonts w:ascii="Times New Roman" w:hAnsi="Times New Roman" w:eastAsia="Times New Roman"/>
          <w:i/>
          <w:sz w:val="24"/>
        </w:rPr>
        <w:t>Doing meta-analysis with R: A hands-on guide</w:t>
      </w:r>
      <w:r>
        <w:rPr>
          <w:rFonts w:ascii="Times New Roman" w:hAnsi="Times New Roman" w:eastAsia="Times New Roman"/>
          <w:sz w:val="24"/>
        </w:rPr>
        <w:t>.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F. (2014). The Hartung-Knapp-Sidik-Jonkman method for random effects meta-analysis is straightforward and considerably outperforms the standard DerSimonian-Laird method. </w:t>
      </w:r>
      <w:r>
        <w:rPr>
          <w:rFonts w:ascii="Times New Roman" w:hAnsi="Times New Roman" w:eastAsia="Times New Roman"/>
          <w:i/>
          <w:sz w:val="24"/>
        </w:rPr>
        <w:t>BMC Medical Research Methodology, 14</w:t>
      </w:r>
      <w:r>
        <w:rPr>
          <w:rFonts w:ascii="Times New Roman" w:hAnsi="Times New Roman" w:eastAsia="Times New Roman"/>
          <w:sz w:val="24"/>
        </w:rPr>
        <w:t>,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F. L. (2013). The criterion-related validity of personality measures for predicting GPA: A meta-analytic validity competition. </w:t>
      </w:r>
      <w:r>
        <w:rPr>
          <w:rFonts w:ascii="Times New Roman" w:hAnsi="Times New Roman" w:eastAsia="Times New Roman"/>
          <w:i/>
          <w:sz w:val="24"/>
        </w:rPr>
        <w:t>Psychological Assessment, 25</w:t>
      </w:r>
      <w:r>
        <w:rPr>
          <w:rFonts w:ascii="Times New Roman" w:hAnsi="Times New Roman" w:eastAsia="Times New Roman"/>
          <w:sz w:val="24"/>
        </w:rPr>
        <w:t>(2), 532–544. https://doi.org/10.1037/a0031748</w:t>
      </w:r>
    </w:p>
    <w:p>
      <w:pPr>
        <w:spacing w:line="480" w:lineRule="auto" w:before="0" w:after="0"/>
        <w:ind w:left="720" w:hanging="720"/>
      </w:pPr>
      <w:r>
        <w:rPr>
          <w:rFonts w:ascii="Times New Roman" w:hAnsi="Times New Roman" w:eastAsia="Times New Roman"/>
          <w:sz w:val="24"/>
        </w:rPr>
        <w:t xml:space="preserve">Meyer, J., Jansen, T., Hübner, N., &amp; Lüdtke, O. (2023). Disentangling the association between the Big Five personality traits and student achievement: Meta-analytic evidence on the role of domain specificity and achievement measures. </w:t>
      </w:r>
      <w:r>
        <w:rPr>
          <w:rFonts w:ascii="Times New Roman" w:hAnsi="Times New Roman" w:eastAsia="Times New Roman"/>
          <w:i/>
          <w:sz w:val="24"/>
        </w:rPr>
        <w:t>Educational Psychology Review, 35</w:t>
      </w:r>
      <w:r>
        <w:rPr>
          <w:rFonts w:ascii="Times New Roman" w:hAnsi="Times New Roman" w:eastAsia="Times New Roman"/>
          <w:sz w:val="24"/>
        </w:rPr>
        <w:t>(12), 1–34. https://doi.org/10.1007/s10648-023-09736-2</w:t>
      </w:r>
    </w:p>
    <w:p>
      <w:pPr>
        <w:spacing w:line="480" w:lineRule="auto" w:before="0" w:after="0"/>
        <w:ind w:left="720" w:hanging="720"/>
      </w:pPr>
      <w:r>
        <w:rPr>
          <w:rFonts w:ascii="Times New Roman" w:hAnsi="Times New Roman" w:eastAsia="Times New Roman"/>
          <w:sz w:val="24"/>
        </w:rPr>
        <w:t xml:space="preserve">Moher, D., Shamseer, L., Clarke, M., Ghersi, D., Liberati, A., Petticrew, M., Shekelle, P., Stewart, L. A., &amp; PRISMA-P Group. (2015). Preferred reporting items for systematic review and meta-analysis protocols (PRISMA-P) 2015 statement. </w:t>
      </w:r>
      <w:r>
        <w:rPr>
          <w:rFonts w:ascii="Times New Roman" w:hAnsi="Times New Roman" w:eastAsia="Times New Roman"/>
          <w:i/>
          <w:sz w:val="24"/>
        </w:rPr>
        <w:t>Systematic Reviews, 4</w:t>
      </w:r>
      <w:r>
        <w:rPr>
          <w:rFonts w:ascii="Times New Roman" w:hAnsi="Times New Roman" w:eastAsia="Times New Roman"/>
          <w:sz w:val="24"/>
        </w:rPr>
        <w:t>(1),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M., Qureshi, R., Mattis, P., Lisy, K., &amp; Mu, P.-F. (2017). Chapter 7: Systematic reviews of etiology and risk. In E. Aromataris &amp; Z. Munn (Eds.), </w:t>
      </w:r>
      <w:r>
        <w:rPr>
          <w:rFonts w:ascii="Times New Roman" w:hAnsi="Times New Roman" w:eastAsia="Times New Roman"/>
          <w:i/>
          <w:sz w:val="24"/>
        </w:rPr>
        <w:t>Joanna Briggs Institute Reviewer's Manual</w:t>
      </w:r>
      <w:r>
        <w:rPr>
          <w:rFonts w:ascii="Times New Roman" w:hAnsi="Times New Roman" w:eastAsia="Times New Roman"/>
          <w:sz w:val="24"/>
        </w:rPr>
        <w:t>. The Joanna Briggs Institute.</w:t>
      </w:r>
    </w:p>
    <w:p>
      <w:pPr>
        <w:spacing w:line="480" w:lineRule="auto" w:before="0" w:after="0"/>
        <w:ind w:left="720" w:hanging="720"/>
      </w:pPr>
      <w:r>
        <w:rPr>
          <w:rFonts w:ascii="Times New Roman" w:hAnsi="Times New Roman" w:eastAsia="Times New Roman"/>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eastAsia="Times New Roman"/>
          <w:i/>
          <w:sz w:val="24"/>
        </w:rPr>
        <w:t>BMJ, 372</w:t>
      </w:r>
      <w:r>
        <w:rPr>
          <w:rFonts w:ascii="Times New Roman" w:hAnsi="Times New Roman" w:eastAsia="Times New Roman"/>
          <w:sz w:val="24"/>
        </w:rPr>
        <w:t>,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N., &amp; Guyatt, G. H. (2019). Chapter 14: Completing "Summary of findings" tables and grading the certainty of the evidence. In J. P. T. Higgins, J. Thomas, J. Chandler, M. Cumpston, T. Li, M. J. Page, &amp; V. A. Welch (Eds.), </w:t>
      </w:r>
      <w:r>
        <w:rPr>
          <w:rFonts w:ascii="Times New Roman" w:hAnsi="Times New Roman" w:eastAsia="Times New Roman"/>
          <w:i/>
          <w:sz w:val="24"/>
        </w:rPr>
        <w:t>Cochrane handbook for systematic reviews of interventions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F., &amp; Li, Z. (2023). Exploring the ecosystem of K-12 online learning: An empirical study of impact mechanisms in the post-pandemic era. </w:t>
      </w:r>
      <w:r>
        <w:rPr>
          <w:rFonts w:ascii="Times New Roman" w:hAnsi="Times New Roman" w:eastAsia="Times New Roman"/>
          <w:i/>
          <w:sz w:val="24"/>
        </w:rPr>
        <w:t>Frontiers in Psychology, 14</w:t>
      </w:r>
      <w:r>
        <w:rPr>
          <w:rFonts w:ascii="Times New Roman" w:hAnsi="Times New Roman" w:eastAsia="Times New Roman"/>
          <w:sz w:val="24"/>
        </w:rPr>
        <w:t>,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(2021).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