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prior to data extraction. Following PRISMA 2020 reporting standards, correlational primary studies reporting associations between Big Five (or HEXACO) personality traits and academic achievement in fully online, blended, MOOC, synchronous online, or asynchronous online environments were identified through a structured search of multiple databases and supplementary sources. Effect sizes were pooled using random-effects meta-analysis with Restricted Maximum Likelihood estimation and Hartung-Knapp-Sidik-Jonkman confidence-interval adjustment; Fisher's z transformation was applied prior to pooling, and robust variance estimation was used to handle dependent effect sizes. Pre-specified moderator analyses examined learning modality, education level, region, era, outcome type, and personality instrument. [Results and conclusions to be finalized after the quantitative synthesis is completed. This placeholder will be replaced with concrete pooled effect sizes, heterogeneity statistics, moderator findings, and GRADE-based confidence ratings.]</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