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(2 studies: A-25, A-26; A-10 was identified as a K-12 record but excluded as face-to-face),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that were retained for the systematic review; of these, 10 contributed direct Pearson correlations or β-converted effect sizes to the primary achievement pool (with two studies — A-28 Yu, 2021 and A-30 Kaspar et al., 2023 — providing β-converted effect sizes via Peterson and Brown's, 2005, approximation), and the remainder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