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31 primary studies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larger studies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smallest studies in the corpus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(2 studies: A-25, A-26; A-10 was identified as a K-12 record but excluded as face-to-face),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that were retained for the systematic review; of these, 10 contributed direct Pearson correlations or β-converted effect sizes to the primary achievement pool (with two studies — A-28 Yu, 2021 and A-30 Kaspar et al., 2023 — providing β-converted effect sizes via Peterson and Brown's, 2005, approximation), and the remainder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