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Discover Psychology (Springer Nature)</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Discover Psychology.</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Discover Psychology.</w:t>
      </w:r>
      <w:r>
        <w:rPr>
          <w:rFonts w:ascii="Calibri" w:hAnsi="Calibri"/>
          <w:sz w:val="22"/>
        </w:rPr>
        <w:t xml:space="preserve"> Discover Psychology’s broad and inclusive scope across subfields of psychology — including personality, organisational, and cross-cultural research — is an appropriate venue for an empirical study that integrates the HEXACO and Dark Triad frameworks within a non-Western employed sample. The journal’s commitment to open and reproducible research is mirrored by the publicly available dataset and analysis script accompanying this submission.</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Springer Nature submission requirements are addressed: ORCID, structured declarations (ethics, consent, conflicts, funding, data availability), and a sole-author CRediT statement.</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