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6th floor, Nishi-Shinjuku Mizuma Building</w:t>
      </w:r>
    </w:p>
    <w:p>
      <w:pPr>
        <w:spacing w:after="0" w:line="276" w:lineRule="auto"/>
        <w:jc w:val="left"/>
      </w:pPr>
      <w:r>
        <w:rPr>
          <w:rFonts w:ascii="Calibri" w:hAnsi="Calibri"/>
          <w:sz w:val="22"/>
        </w:rPr>
        <w:t>3-3-13 Nishi-Shinjuku, Shinjuku-ku, Tokyo 160-0023,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Tel: +81-80-7279-4835</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07,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Royal Society Open Science (The Royal Society)</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my manuscript entitled “Associations of HEXACO and Dark Traits with Power and Gender Harassment” for consideration in Royal Society Open Science. The manuscript would best fit the “Psychology and cognitive neuroscience” subject area.</w:t>
      </w:r>
    </w:p>
    <w:p>
      <w:pPr>
        <w:spacing w:after="120" w:line="276" w:lineRule="auto"/>
        <w:jc w:val="left"/>
      </w:pPr>
      <w:r>
        <w:rPr>
          <w:rFonts w:ascii="Calibri" w:hAnsi="Calibri"/>
          <w:b/>
          <w:sz w:val="22"/>
        </w:rPr>
        <w:t>Contribution.</w:t>
      </w:r>
      <w:r>
        <w:rPr>
          <w:rFonts w:ascii="Calibri" w:hAnsi="Calibri"/>
          <w:sz w:val="22"/>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pPr>
        <w:spacing w:after="120" w:line="276" w:lineRule="auto"/>
        <w:jc w:val="left"/>
      </w:pPr>
      <w:r>
        <w:rPr>
          <w:rFonts w:ascii="Calibri" w:hAnsi="Calibri"/>
          <w:b/>
          <w:sz w:val="22"/>
        </w:rPr>
        <w:t>Methods and key findings.</w:t>
      </w:r>
      <w:r>
        <w:rPr>
          <w:rFonts w:ascii="Calibri" w:hAnsi="Calibri"/>
          <w:sz w:val="22"/>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Hypotheses (H1–H5) are stated in falsifiable form, including pre-specified pattern-level predictions across outcomes and across sex. Across models, psychopathy is a consistent positive predictor of power-harassment perpetration tendencies (β ≈ .32–.40, p &lt; .001), whereas Honesty–Humility is negatively associated (β = −.14, p = .049). For gender-harassment perpetration tendencies, narcissism and psychopathy are positive predictors, while Honesty–Humility (β = −.23, p &lt; .001) and Openness (β = −.24, p &lt; .001) are negative predictors; Machiavellianism shows a negative coefficient that is consistent in sign with its small bivariate negative correlation in this sample (ρ ≈ −.10) rather than emerging as a sign reversal under adjustment, and I do not interpret it as a substantive ‘protective’ effect. Adding HEXACO yields meaningful incremental variance (ΔR² = .032, p = .036 for power; ΔR² = .096, p &lt; .001 for gender). Sex-stratified analyses indicate a divergence in predictor structure (Openness dominant negative predictor of gender-harassment perpetration tendencies among men; Honesty–Humility dominant among women), which I read as a hypothesis-generating pattern rather than as a confirmed moderation effect. The manuscript explicitly frames the residual Honesty–Humility association after adjustment for the Dark Triad as an adjusted association rather than as evidence of a separable latent fairness/sincerity factor distinct from antagonism (the latter would require a latent-variable framework not estimated here). Findings inform tentative implications for harassment-prevention frameworks; I do not advocate personality-based selection or screening.</w:t>
      </w:r>
    </w:p>
    <w:p>
      <w:pPr>
        <w:spacing w:after="120" w:line="276" w:lineRule="auto"/>
        <w:jc w:val="left"/>
      </w:pPr>
      <w:r>
        <w:rPr>
          <w:rFonts w:ascii="Calibri" w:hAnsi="Calibri"/>
          <w:b/>
          <w:sz w:val="22"/>
        </w:rPr>
        <w:t>Fit with Royal Society Open Science.</w:t>
      </w:r>
      <w:r>
        <w:rPr>
          <w:rFonts w:ascii="Calibri" w:hAnsi="Calibri"/>
          <w:sz w:val="22"/>
        </w:rPr>
        <w:t xml:space="preserve"> The journal’s emphasis on transparent, reproducible, open research aligns with the present submission, which deposits both the de-identified raw dataset and the full analytic pipeline in a public repository, pre-specifies hierarchical models, and reports sensitivity analyses. The manuscript contributes cross-cultural evidence on individual differences and workplace behaviour that should interest readers across personality, social, and organisational psychology.</w:t>
      </w:r>
    </w:p>
    <w:p>
      <w:pPr>
        <w:spacing w:after="120" w:line="276" w:lineRule="auto"/>
        <w:jc w:val="left"/>
      </w:pPr>
      <w:r>
        <w:rPr>
          <w:rFonts w:ascii="Calibri" w:hAnsi="Calibri"/>
          <w:b/>
          <w:sz w:val="22"/>
        </w:rPr>
        <w:t>Compliance and transparency.</w:t>
      </w:r>
      <w:r>
        <w:rPr>
          <w:rFonts w:ascii="Calibri" w:hAnsi="Calibri"/>
          <w:sz w:val="22"/>
        </w:rPr>
        <w:t xml:space="preserve"> Ethics approval: Institutional Review Board of the Public Health Research Foundation (Reference no. 25G0001), an independent ethics review body unaffiliated with the author and with SUNBLAZE Co., Ltd. Informed consent was obtained from all participants prior to questionnaire administration; the dataset retained for analysis and public release is de-identified (Lancers user identifiers were collected solely to disburse compensation and were permanently deleted after payment), and the geographic-area variable was generalized to three categories (Kanto, Kinki, Other) prior to public release. Conflict of interest: I am the founder of SUNBLAZE Co., Ltd. (Tokyo, Japan), which develops and markets proprietary personality-assessment and HR-analytics tools. The proprietary instruments offered by SUNBLAZE do not include the HEXACO-60 or the SD3-J used in this study, and the present findings are not intended for, and will not be used in, SUNBLAZE product development, validation, marketing, or commercial promotion. I nonetheless disclose this commercial affiliation as a potential perceived conflict of interest in line with COPE and ICMJE guidance. Funding: this research was funded entirely from my personal resources; no external grant from public, commercial, or not-for-profit funding bodies was received, and SUNBLAZE Co., Ltd. provided no financial contribution and no in-kind support at any stage of the research, including any Article Processing Charge.</w:t>
      </w:r>
    </w:p>
    <w:p>
      <w:pPr>
        <w:spacing w:after="120" w:line="276" w:lineRule="auto"/>
        <w:jc w:val="left"/>
      </w:pPr>
      <w:r>
        <w:rPr>
          <w:rFonts w:ascii="Calibri" w:hAnsi="Calibri"/>
          <w:b/>
          <w:sz w:val="22"/>
        </w:rPr>
        <w:t>Open science and preprint.</w:t>
      </w:r>
      <w:r>
        <w:rPr>
          <w:rFonts w:ascii="Calibri" w:hAnsi="Calibri"/>
          <w:sz w:val="22"/>
        </w:rPr>
        <w:t xml:space="preserve"> A preprint of this manuscript is publicly available on Research Square (v1; https://doi.org/10.21203/rs.3.rs-7756124/v1). The de-identified dataset and analysis script are openly available at https://github.com/etoki/paper (harassment/raw.csv, harassment/analysis.py).</w:t>
      </w:r>
    </w:p>
    <w:p>
      <w:pPr>
        <w:spacing w:after="120" w:line="276" w:lineRule="auto"/>
        <w:jc w:val="left"/>
      </w:pPr>
      <w:r>
        <w:rPr>
          <w:rFonts w:ascii="Calibri" w:hAnsi="Calibri"/>
          <w:sz w:val="22"/>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Royal Society submission requirements are addressed: ORCID, ethics statement, data accessibility statement linked to the public repository, and authorship statement (sole author).</w:t>
      </w:r>
    </w:p>
    <w:p>
      <w:pPr>
        <w:spacing w:after="120" w:line="276" w:lineRule="auto"/>
        <w:jc w:val="left"/>
      </w:pPr>
      <w:r>
        <w:rPr>
          <w:rFonts w:ascii="Calibri" w:hAnsi="Calibri"/>
          <w:sz w:val="22"/>
        </w:rPr>
        <w:t>Thank you for considering my submission. I look forward to your decision.</w:t>
      </w:r>
    </w:p>
    <w:p>
      <w:pPr>
        <w:spacing w:after="0" w:line="276" w:lineRule="auto"/>
        <w:jc w:val="left"/>
      </w:pPr>
      <w:r>
        <w:rPr>
          <w:rFonts w:ascii="Calibri" w:hAnsi="Calibri"/>
          <w:sz w:val="22"/>
        </w:rPr>
        <w:t>Sincerely,</w:t>
      </w:r>
    </w:p>
    <w:p>
      <w:pPr>
        <w:spacing w:after="0" w:line="276" w:lineRule="auto"/>
        <w:jc w:val="left"/>
      </w:pP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