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rPr>
          <w:rFonts w:ascii="Times New Roman" w:hAnsi="Times New Roman" w:eastAsia="Times New Roman"/>
          <w:i/>
          <w:sz w:val="16"/>
        </w:rPr>
        <w:t>Received XX Month, 20XX; revised XX Month, 20XX; accepted XX Month, 20XX. Date of publication XX Month, 20XX; date of current version XX Month, 20XX.</w:t>
      </w:r>
    </w:p>
    <w:p>
      <w:pPr>
        <w:spacing w:line="240" w:lineRule="auto" w:before="0" w:after="160"/>
      </w:pPr>
      <w:r>
        <w:rPr>
          <w:rFonts w:ascii="Times New Roman" w:hAnsi="Times New Roman" w:eastAsia="Times New Roman"/>
          <w:i/>
          <w:sz w:val="16"/>
        </w:rPr>
        <w:t>Digital Object Identifier 10.1109/ACCESS.20XX.DOI</w:t>
      </w:r>
    </w:p>
    <w:p>
      <w:pPr>
        <w:spacing w:line="240" w:lineRule="auto" w:before="0" w:after="200"/>
        <w:jc w:val="left"/>
      </w:pPr>
      <w:r>
        <w:rPr>
          <w:rFonts w:ascii="Times New Roman" w:hAnsi="Times New Roman" w:eastAsia="Times New Roman"/>
          <w:b/>
          <w:sz w:val="44"/>
        </w:rPr>
        <w:t>Person-Level versus System-Level Anti-Harassment Interventions: A HEXACO 7-Typology Counterfactual Microsimulation in Japanese Workplaces</w:t>
      </w:r>
    </w:p>
    <w:p>
      <w:pPr>
        <w:spacing w:line="240" w:lineRule="auto" w:before="0" w:after="40"/>
        <w:jc w:val="left"/>
      </w:pPr>
      <w:r>
        <w:rPr>
          <w:rFonts w:ascii="Times New Roman" w:hAnsi="Times New Roman" w:eastAsia="Times New Roman"/>
          <w:b/>
          <w:sz w:val="20"/>
        </w:rPr>
        <w:t>E. TOKIWA</w:t>
      </w:r>
      <w:r>
        <w:rPr>
          <w:rFonts w:ascii="Times New Roman" w:hAnsi="Times New Roman" w:eastAsia="Times New Roman"/>
          <w:b/>
          <w:sz w:val="14"/>
          <w:vertAlign w:val="superscript"/>
        </w:rPr>
        <w:t>1</w:t>
      </w:r>
    </w:p>
    <w:p>
      <w:pPr>
        <w:spacing w:line="240" w:lineRule="auto" w:before="0" w:after="40"/>
      </w:pPr>
      <w:r>
        <w:rPr>
          <w:rFonts w:ascii="Times New Roman" w:hAnsi="Times New Roman" w:eastAsia="Times New Roman"/>
          <w:sz w:val="14"/>
          <w:vertAlign w:val="superscript"/>
        </w:rPr>
        <w:t>1</w:t>
      </w:r>
      <w:r>
        <w:rPr>
          <w:rFonts w:ascii="Times New Roman" w:hAnsi="Times New Roman" w:eastAsia="Times New Roman"/>
          <w:sz w:val="14"/>
        </w:rPr>
        <w:t>SUNBLAZE Co., Ltd., Nishi-Shinjuku 3-3-13, Shinjuku-ku, Tokyo 160-0023, Japan</w:t>
      </w:r>
    </w:p>
    <w:p>
      <w:pPr>
        <w:spacing w:line="240" w:lineRule="auto" w:before="0" w:after="40"/>
      </w:pPr>
      <w:r>
        <w:rPr>
          <w:rFonts w:ascii="Times New Roman" w:hAnsi="Times New Roman" w:eastAsia="Times New Roman"/>
          <w:sz w:val="16"/>
        </w:rPr>
        <w:t>Corresponding author: E. Tokiwa (e-mail: eisuke.tokiwa@sunblaze.jp).</w:t>
      </w:r>
    </w:p>
    <w:p>
      <w:pPr>
        <w:spacing w:line="240" w:lineRule="auto" w:before="0" w:after="40"/>
        <w:jc w:val="both"/>
      </w:pPr>
      <w:r>
        <w:rPr>
          <w:rFonts w:ascii="Times New Roman" w:hAnsi="Times New Roman" w:eastAsia="Times New Roman"/>
          <w:sz w:val="16"/>
        </w:rPr>
        <w:t>No funding was received for this research. SUNBLAZE Co., Ltd. did not provide any funding, equipment, or compensation, and no external grant funding from public, commercial, or not-for-profit agencies was received. The author conducted the research as an independent academic project at no monetary cost.</w:t>
      </w:r>
    </w:p>
    <w:p>
      <w:pPr>
        <w:spacing w:line="240" w:lineRule="auto" w:before="0" w:after="200"/>
        <w:jc w:val="left"/>
      </w:pPr>
      <w:r>
        <w:rPr>
          <w:rFonts w:ascii="Times New Roman" w:hAnsi="Times New Roman" w:eastAsia="Times New Roman"/>
          <w:sz w:val="14"/>
        </w:rPr>
        <w:t>© 2026 The Authors. This work is licensed under a Creative Commons Attribution 4.0 License. For more information, see https://creativecommons.org/licenses/by/4.0/. VOLUME XX, 2026</w:t>
      </w:r>
    </w:p>
    <w:p>
      <w:pPr>
        <w:spacing w:line="240" w:lineRule="auto" w:before="0" w:after="80"/>
        <w:jc w:val="both"/>
      </w:pPr>
      <w:r>
        <w:rPr>
          <w:rFonts w:ascii="Times New Roman" w:hAnsi="Times New Roman" w:eastAsia="Times New Roman"/>
          <w:b/>
          <w:sz w:val="20"/>
        </w:rPr>
        <w:t>ABSTRACT</w:t>
      </w:r>
      <w:r>
        <w:rPr>
          <w:rFonts w:ascii="Times New Roman" w:hAnsi="Times New Roman" w:eastAsia="Times New Roman"/>
          <w:sz w:val="20"/>
        </w:rPr>
        <w:t xml:space="preserve"> Workplace harassment is associated with substantial mental-health and labor-supply costs in Japan, where Ministry of Health, Labour and Welfare (MHLW) surveys document past-three-year power-harassment victimization declining from 32.5% (FY2016) to 19.3% (FY2023) over the period spanning enforcement of the 2020 Power Harassment Prevention Law. The relative population-level magnitude of plausible person-level versus system-level interventions during this period has not been quantitatively compared in a pre-registered counterfactual framework. We pre-registered (OSF DOI 10.17605/OSF.IO/3Y54U) a 7-typology HEXACO microsimulation that emulates a target trial of three counterfactual interventions: (A) a universal +0.3 SD shift on Honesty-Humility, Agreeableness, and Emotionality; (B) a +0.40 SD Honesty-Humility shift restricted to individuals already in three low-prevalence typologies (Clusters {0, 4, 6}); and (C) a structural cell-level propensity reduction of 20%, calibrated against three meta-analyses of organizational anti-harassment interventions and the MHLW FY2016–FY2023 −13.2-percentage-point natural-experiment-like decline. Using N = 354 individual-level observations partitioned into 14 cells (7 typologies × 2 genders) with cell-stratified bootstrap (B = 10,000), Beta-Binomial empirical Bayes shrinkage, and a four-step BCa confidence-interval cascade, the personality-intervention contrasts are statistically null (ΔP_A = −0.0061, 95% CI [−0.0207, +0.0062]; ΔP_B = −0.0059, 95% CI [−0.0207, +0.0066]), whereas the structural-intervention contrast is positive (ΔP_C = +0.0349, 95% CI [+0.0264, +0.0435]). The pre-registered intersection-union test classifies this configuration as REVERSAL: in absolute magnitude, |ΔP_C|/|ΔP_A| ≈ 5.7. The classification is robust across cultural attenuation factors of 0.3–1.0 and across nine pre-registered analytic choices. We interpret these contrasts conditional on the prior meta-analytic and natural-experiment effect sizes from which each counterfactual was calibrated. The findings are consistent with treating HEXACO 7-typology as a stratification variable that identifies differentially exposed subpopulations rather than as a target for individual-level personality modification, and we caution against interpreting HEXACO–harassment associations as endorsing person-focused remediation.</w:t>
      </w:r>
    </w:p>
    <w:p>
      <w:pPr>
        <w:spacing w:line="240" w:lineRule="auto" w:before="0" w:after="200"/>
        <w:jc w:val="both"/>
      </w:pPr>
      <w:r>
        <w:rPr>
          <w:rFonts w:ascii="Times New Roman" w:hAnsi="Times New Roman" w:eastAsia="Times New Roman"/>
          <w:b/>
          <w:sz w:val="20"/>
        </w:rPr>
        <w:t>INDEX TERMS</w:t>
      </w:r>
      <w:r>
        <w:rPr>
          <w:rFonts w:ascii="Times New Roman" w:hAnsi="Times New Roman" w:eastAsia="Times New Roman"/>
          <w:sz w:val="20"/>
        </w:rPr>
        <w:t xml:space="preserve"> Bootstrap, counterfactual analysis, HEXACO model, intersection-union test, microsimulation, target trial emulation, workplace harassment.</w:t>
      </w:r>
    </w:p>
    <w:p>
      <w:pPr>
        <w:sectPr>
          <w:type w:val="continuous"/>
          <w:pgSz w:w="11520" w:h="15660"/>
          <w:pgMar w:top="1280" w:bottom="1040" w:left="740" w:right="740"/>
          <w:cols w:num="1"/>
        </w:sectPr>
      </w:pPr>
    </w:p>
    <w:p>
      <w:pPr>
        <w:spacing w:line="240" w:lineRule="auto" w:before="160" w:after="80"/>
        <w:jc w:val="center"/>
      </w:pPr>
      <w:r>
        <w:rPr>
          <w:rFonts w:ascii="Times New Roman" w:hAnsi="Times New Roman" w:eastAsia="Times New Roman"/>
          <w:b/>
          <w:sz w:val="18"/>
        </w:rPr>
        <w:t>I. INTRODUCTION</w:t>
      </w:r>
    </w:p>
    <w:p>
      <w:pPr>
        <w:spacing w:line="240" w:lineRule="auto" w:before="0" w:after="0"/>
        <w:ind w:firstLine="180"/>
        <w:jc w:val="both"/>
      </w:pPr>
      <w:r>
        <w:rPr>
          <w:rFonts w:ascii="Times New Roman" w:hAnsi="Times New Roman" w:eastAsia="Times New Roman"/>
          <w:sz w:val="20"/>
        </w:rPr>
        <w:t>Title: Person-Level versus System-Level Anti-Harassment Interventions: A HEXACO 7-Typology Counterfactual Microsimulation in Japanese Workplaces</w:t>
      </w:r>
    </w:p>
    <w:p>
      <w:pPr>
        <w:spacing w:line="240" w:lineRule="auto" w:before="0" w:after="0"/>
        <w:ind w:firstLine="180"/>
        <w:jc w:val="both"/>
      </w:pPr>
      <w:r>
        <w:rPr>
          <w:rFonts w:ascii="Times New Roman" w:hAnsi="Times New Roman" w:eastAsia="Times New Roman"/>
          <w:sz w:val="20"/>
        </w:rPr>
        <w:t>Funding and competing interests: This study received no external grant funding and no internal SUNBLAZE Co., Ltd. funding; the author conducted the research as an independent academic project. The author is the representative of SUNBLAZE Co., Ltd. (Tokyo, Japan), which provides HEXACO-JP, a proprietary Japanese-language HEXACO-based personality assessment service. This affiliation is a potential competing interest and is disclosed accordingly. Three points qualify the disclosure: (i) the present study does not use HEXACO-JP. The HEXACO instrument used here is the HEXACO-PI-R Japanese 60-item adaptation published by Wakabayashi [25], a separately validated and openly cited instrument that predates and is independent of HEXACO-JP. (ii) The present manuscript does not reference, evaluate, market, recommend, or otherwise promote HEXACO-JP or any other SUNBLAZE product or service, and SUNBLAZE Co., Ltd. did not commission, fund, sponsor, or direct the research. (iii) The empirical findings of the present study — a null personality-intervention contrast and a substantively reframed reading of HEXACO 7-typology as a stratification variable rather than an intervention or screening target — do not differentially favor commercial HEXACO-based assessment products.</w:t>
      </w:r>
    </w:p>
    <w:p>
      <w:pPr>
        <w:spacing w:line="240" w:lineRule="auto" w:before="40" w:after="40"/>
      </w:pPr>
      <w:r>
        <w:rPr>
          <w:rFonts w:ascii="Times New Roman" w:hAnsi="Times New Roman" w:eastAsia="Times New Roman"/>
          <w:b/>
          <w:i/>
          <w:sz w:val="20"/>
        </w:rPr>
        <w:t>1) Workplace harassment as a public-health and policy problem:</w:t>
      </w:r>
    </w:p>
    <w:p>
      <w:pPr>
        <w:spacing w:line="240" w:lineRule="auto" w:before="0" w:after="0"/>
        <w:ind w:firstLine="180"/>
        <w:jc w:val="both"/>
      </w:pPr>
      <w:r>
        <w:rPr>
          <w:rFonts w:ascii="Times New Roman" w:hAnsi="Times New Roman" w:eastAsia="Times New Roman"/>
          <w:sz w:val="20"/>
        </w:rPr>
        <w:t>Workplace harassment has been associated with elevated risk of psychiatric morbidity, voluntary turnover, and reduced labor productivity in industrialized economies [1], [2]. In Japan, the Ministry of Health, Labour and Welfare (MHLW) has documented past-three-year power-harassment victimization rates of 32.5% in FY2016, 31.4% in FY2020, and 19.3% in FY2023 [3]. The 13.2 percentage-point decline between FY2016 and FY2023 coincides with the staged enforcement of the 2020 Power Harassment Prevention Law, which mandated formal anti-harassment policies, employee-accessible reporting channels, and prohibited retaliation against complainants — first for large enterprises in June 2020, and subsequently extended to small-and-medium enterprises in April 2022. This temporal coincidence has been treated in the policy literature as a natural-experiment-like setting; it provides a substantive backdrop for the present pre-registered analysis, although the present study is observational and not a formal causal inference about the law itself.</w:t>
      </w:r>
    </w:p>
    <w:p>
      <w:pPr>
        <w:spacing w:line="240" w:lineRule="auto" w:before="0" w:after="0"/>
        <w:ind w:firstLine="180"/>
        <w:jc w:val="both"/>
      </w:pPr>
      <w:r>
        <w:rPr>
          <w:rFonts w:ascii="Times New Roman" w:hAnsi="Times New Roman" w:eastAsia="Times New Roman"/>
          <w:sz w:val="20"/>
        </w:rPr>
        <w:t>A long-standing theoretical question in workplace-psychology research concerns the relative explanatory weight of person-level factors — individual personality dispositions associated with harassment perpetration or victimization — versus system-level factors that involve organizational structure, accountability mechanisms, and power asymmetries [4], [5]. The former framing treats harassment as primarily driven by individual disposition; the latter treats it as primarily driven by environmental affordance. Despite extensive research linking personality traits to bullying and harassment [6], [7], the relative population-level magnitude of plausible person-level and system-level intervention contrasts has not been quantitatively compared in a counterfactually formal framework calibrated against prior meta-analytic effect sizes.</w:t>
      </w:r>
    </w:p>
    <w:p>
      <w:pPr>
        <w:spacing w:line="240" w:lineRule="auto" w:before="40" w:after="40"/>
      </w:pPr>
      <w:r>
        <w:rPr>
          <w:rFonts w:ascii="Times New Roman" w:hAnsi="Times New Roman" w:eastAsia="Times New Roman"/>
          <w:b/>
          <w:i/>
          <w:sz w:val="20"/>
        </w:rPr>
        <w:t>2) HEXACO 7-typology and its prior connection to workplace harassment:</w:t>
      </w:r>
    </w:p>
    <w:p>
      <w:pPr>
        <w:spacing w:line="240" w:lineRule="auto" w:before="0" w:after="0"/>
        <w:ind w:firstLine="180"/>
        <w:jc w:val="both"/>
      </w:pPr>
      <w:r>
        <w:rPr>
          <w:rFonts w:ascii="Times New Roman" w:hAnsi="Times New Roman" w:eastAsia="Times New Roman"/>
          <w:sz w:val="20"/>
        </w:rPr>
        <w:t>The HEXACO model of personality [8] extends the classical Big Five framework with an additional dimension, Honesty-Humility (HH), which captures fairness, modesty, sincerity, and resistance to exploiting others. Within the HEXACO literature, low Honesty-Humility, low Agreeableness, and high Emotionality have repeatedly been associated with workplace bullying perpetration and victimization [6], [9], [10], [11]. However, the magnitude of these associations is generally modest [6] (uncorrected r typically in the range 0.10–0.30), and recent meta-analyses suggest considerable cross-cultural heterogeneity in workplace bullying acceptability and effect sizes [6], [12].</w:t>
      </w:r>
    </w:p>
    <w:p>
      <w:pPr>
        <w:spacing w:line="240" w:lineRule="auto" w:before="0" w:after="0"/>
        <w:ind w:firstLine="180"/>
        <w:jc w:val="both"/>
      </w:pPr>
      <w:r>
        <w:rPr>
          <w:rFonts w:ascii="Times New Roman" w:hAnsi="Times New Roman" w:eastAsia="Times New Roman"/>
          <w:sz w:val="20"/>
        </w:rPr>
        <w:t>In a companion study, our research group identified seven robust HEXACO clusters in a Japanese sample of N = 13,668 [13] (herein "the centroid study"). The seven typologies — labeled here as types 0 through 6 — span the joint distribution of HEXACO domains and provide a parsimonious taxonomy for categorizing individuals according to their personality profile. The present study leverages these IEEE Access–published centroids as fixed parameters for stratifying a smaller harassment-focused subsample [14] (N = 354).</w:t>
      </w:r>
    </w:p>
    <w:p>
      <w:pPr>
        <w:spacing w:line="240" w:lineRule="auto" w:before="0" w:after="0"/>
        <w:ind w:firstLine="180"/>
        <w:jc w:val="both"/>
      </w:pPr>
      <w:r>
        <w:rPr>
          <w:rFonts w:ascii="Times New Roman" w:hAnsi="Times New Roman" w:eastAsia="Times New Roman"/>
          <w:sz w:val="20"/>
        </w:rPr>
        <w:t>A critical reframing. The role of HEXACO in this study is not to identify who should be subjected to personality interventions. Rather, HEXACO 7-typology serves as a stratification variable that identifies which subgroups are differentially exposed to workplace harassment. Whether this differential exposure reflects direct personality causation (low-HH individuals harass or are harassed at higher rates), selection (low-HH individuals self-select into harassment-prone industries), confounding (shared socioeconomic factors elevate both low-HH and harassment risk), or reverse causation (harassment exposure depresses HH scores via cynicism) cannot be distinguished from observational data alone. Our counterfactual analysis is designed to identify which of these mechanisms is not the dominant one — namely, by testing whether shifting individuals' HEXACO scores reduces aggregate prevalence — but is not designed to adjudicate among the remaining alternatives.</w:t>
      </w:r>
    </w:p>
    <w:p>
      <w:pPr>
        <w:spacing w:line="240" w:lineRule="auto" w:before="40" w:after="40"/>
      </w:pPr>
      <w:r>
        <w:rPr>
          <w:rFonts w:ascii="Times New Roman" w:hAnsi="Times New Roman" w:eastAsia="Times New Roman"/>
          <w:b/>
          <w:i/>
          <w:sz w:val="20"/>
        </w:rPr>
        <w:t>3) Microsimulation as a methodological bridge:</w:t>
      </w:r>
    </w:p>
    <w:p>
      <w:pPr>
        <w:spacing w:line="240" w:lineRule="auto" w:before="0" w:after="0"/>
        <w:ind w:firstLine="180"/>
        <w:jc w:val="both"/>
      </w:pPr>
      <w:r>
        <w:rPr>
          <w:rFonts w:ascii="Times New Roman" w:hAnsi="Times New Roman" w:eastAsia="Times New Roman"/>
          <w:sz w:val="20"/>
        </w:rPr>
        <w:t>Microsimulation methods, originating in demographic and economic policy analysis [15] and extended into epidemiology and public health [16], allow researchers to project individual-level data into population-level prevalence estimates under counterfactual scenarios. The methodological strength of microsimulation lies in its ability to combine (a) detailed individual-level inputs, (b) population-level reweighting via official census or labor-force statistics, and (c) explicit counterfactual interventions with causal interpretation. In contrast to purely statistical adjustment or survey reweighting, microsimulation makes the implementation of "what-if" interventions explicit and falsifiable.</w:t>
      </w:r>
    </w:p>
    <w:p>
      <w:pPr>
        <w:spacing w:line="240" w:lineRule="auto" w:before="0" w:after="0"/>
        <w:ind w:firstLine="180"/>
        <w:jc w:val="both"/>
      </w:pPr>
      <w:r>
        <w:rPr>
          <w:rFonts w:ascii="Times New Roman" w:hAnsi="Times New Roman" w:eastAsia="Times New Roman"/>
          <w:sz w:val="20"/>
        </w:rPr>
        <w:t>The present study adopts the framework of target trial emulation [17] to formalize the counterfactual interventions of interest. Target trial emulation requires four identifying assumptions: (i) consistency between observed and counterfactual treatments, (ii) exchangeability conditional on measured covariates, (iii) positivity of treatment assignment, and (iv) absence of interference between units [18] (SUTVA). We address each assumption explicitly in the Methods and Discussion.</w:t>
      </w:r>
    </w:p>
    <w:p>
      <w:pPr>
        <w:spacing w:line="240" w:lineRule="auto" w:before="0" w:after="0"/>
        <w:ind w:firstLine="180"/>
        <w:jc w:val="both"/>
      </w:pPr>
      <w:r>
        <w:rPr>
          <w:rFonts w:ascii="Times New Roman" w:hAnsi="Times New Roman" w:eastAsia="Times New Roman"/>
          <w:sz w:val="20"/>
        </w:rPr>
        <w:t>Counterfactual contrasts are formulated using the Pearl [29] do-operator. Specifically, we define three pre-registered interventions:</w:t>
      </w:r>
    </w:p>
    <w:p>
      <w:pPr>
        <w:pStyle w:val="ListBullet"/>
        <w:spacing w:line="240" w:lineRule="auto" w:before="0" w:after="0"/>
        <w:jc w:val="both"/>
      </w:pPr>
      <w:r>
        <w:rPr>
          <w:rFonts w:ascii="Times New Roman" w:hAnsi="Times New Roman" w:eastAsia="Times New Roman"/>
          <w:sz w:val="20"/>
        </w:rPr>
        <w:t>Counterfactual A (personality intervention): do(HH ← HH + 0.3 σ_HH; A ← A + 0.3 σ_A; E ← E + 0.3 σ_E). The +0.3 SD calibration is derived from the upper bound of effect sizes reported in personality-training meta-analyses [19], [20].</w:t>
      </w:r>
    </w:p>
    <w:p>
      <w:pPr>
        <w:pStyle w:val="ListBullet"/>
        <w:spacing w:line="240" w:lineRule="auto" w:before="0" w:after="0"/>
        <w:jc w:val="both"/>
      </w:pPr>
      <w:r>
        <w:rPr>
          <w:rFonts w:ascii="Times New Roman" w:hAnsi="Times New Roman" w:eastAsia="Times New Roman"/>
          <w:sz w:val="20"/>
        </w:rPr>
        <w:t>Counterfactual B (targeted personality intervention on low-prevalence subgroup): do(HH := HH + 0.40 σ_HH) restricted to individuals whose baseline cluster is already in the pre-registered low-prevalence target set {0, 4, 6}; HEXACO scores of all other individuals are unchanged. After the targeted shift, all individuals are re-classified by nearest-centroid on the post-intervention HEXACO matrix and per-cell propensities are re-computed. This intervention represents a subgroup-targeted personality-amplification scenario rather than a forced reassignment of the full sample, and serves as a falsification benchmark for any person-level intervention focused on the lowest-prevalence typologies.</w:t>
      </w:r>
    </w:p>
    <w:p>
      <w:pPr>
        <w:pStyle w:val="ListBullet"/>
        <w:spacing w:line="240" w:lineRule="auto" w:before="0" w:after="0"/>
        <w:jc w:val="both"/>
      </w:pPr>
      <w:r>
        <w:rPr>
          <w:rFonts w:ascii="Times New Roman" w:hAnsi="Times New Roman" w:eastAsia="Times New Roman"/>
          <w:sz w:val="20"/>
        </w:rPr>
        <w:t>Counterfactual C (structural reform): do(P_{c, x = power} ← 0.8 × P_{c, x = power}). Cell-level propensity is reduced by 20% uniformly across all cluster × gender cells, calibrated against three meta-analyses of organizational anti-harassment interventions [5], [21], [22], as well as the empirical −13.2 percentage-point reduction observed in the MHLW survey series between FY2016 and FY2023, spanning the 2020 Power Harassment Prevention Law's staged enforcement.</w:t>
      </w:r>
    </w:p>
    <w:p>
      <w:pPr>
        <w:spacing w:line="240" w:lineRule="auto" w:before="0" w:after="0"/>
        <w:ind w:firstLine="180"/>
        <w:jc w:val="both"/>
      </w:pPr>
      <w:r>
        <w:rPr>
          <w:rFonts w:ascii="Times New Roman" w:hAnsi="Times New Roman" w:eastAsia="Times New Roman"/>
          <w:sz w:val="20"/>
        </w:rPr>
        <w:t>The asymmetry between A/B and C — namely, that A and B intervene on personality while C intervenes on the propensity-environment pathway — operationalizes the question: given comparable effect sizes drawn from prior literature on each intervention type, which produces a larger population-level prevalence reduction?</w:t>
      </w:r>
    </w:p>
    <w:p>
      <w:pPr>
        <w:spacing w:line="240" w:lineRule="auto" w:before="40" w:after="40"/>
      </w:pPr>
      <w:r>
        <w:rPr>
          <w:rFonts w:ascii="Times New Roman" w:hAnsi="Times New Roman" w:eastAsia="Times New Roman"/>
          <w:b/>
          <w:i/>
          <w:sz w:val="20"/>
        </w:rPr>
        <w:t>4) Hypotheses:</w:t>
      </w:r>
    </w:p>
    <w:p>
      <w:pPr>
        <w:spacing w:line="240" w:lineRule="auto" w:before="0" w:after="0"/>
        <w:ind w:firstLine="180"/>
        <w:jc w:val="both"/>
      </w:pPr>
      <w:r>
        <w:rPr>
          <w:rFonts w:ascii="Times New Roman" w:hAnsi="Times New Roman" w:eastAsia="Times New Roman"/>
          <w:sz w:val="20"/>
        </w:rPr>
        <w:t>The pre-registration v2.0 (OSF DOI 10.17605/OSF.IO/3Y54U) specifies seven primary hypotheses:</w:t>
      </w:r>
    </w:p>
    <w:p>
      <w:pPr>
        <w:pStyle w:val="ListBullet"/>
        <w:spacing w:line="240" w:lineRule="auto" w:before="0" w:after="0"/>
        <w:jc w:val="both"/>
      </w:pPr>
      <w:r>
        <w:rPr>
          <w:rFonts w:ascii="Times New Roman" w:hAnsi="Times New Roman" w:eastAsia="Times New Roman"/>
          <w:sz w:val="20"/>
        </w:rPr>
        <w:t>H1 (latent prevalence prediction): The 14-cell HEXACO 7-typology × gender model, when re-weighted using Statistics Bureau (Ministry of Internal Affairs and Communications) Labor Force Survey 2022 marginals, predicts national past-three-year power-harassment prevalence with mean absolute percentage error (MAPE) ≤ 30% relative to MHLW survey targets across FY2016, FY2020, and FY2023 (4-tier judgment hierarchy: Strict SUCCESS, Standard SUCCESS, PARTIAL SUCCESS, FAILURE).</w:t>
      </w:r>
    </w:p>
    <w:p>
      <w:pPr>
        <w:pStyle w:val="ListBullet"/>
        <w:spacing w:line="240" w:lineRule="auto" w:before="0" w:after="0"/>
        <w:jc w:val="both"/>
      </w:pPr>
      <w:r>
        <w:rPr>
          <w:rFonts w:ascii="Times New Roman" w:hAnsi="Times New Roman" w:eastAsia="Times New Roman"/>
          <w:sz w:val="20"/>
        </w:rPr>
        <w:t>H2 (baseline ordinal hierarchy): The progression of model sophistication from B0 (uniform = MHLW grand mean) through B4 (extended with age and age × cluster interactions) shows monotonically improving MAPE_FY2016, tested via Bonferroni-Holm pairwise inequalities and Page's L (1963) trend test.</w:t>
      </w:r>
    </w:p>
    <w:p>
      <w:pPr>
        <w:pStyle w:val="ListBullet"/>
        <w:spacing w:line="240" w:lineRule="auto" w:before="0" w:after="0"/>
        <w:jc w:val="both"/>
      </w:pPr>
      <w:r>
        <w:rPr>
          <w:rFonts w:ascii="Times New Roman" w:hAnsi="Times New Roman" w:eastAsia="Times New Roman"/>
          <w:sz w:val="20"/>
        </w:rPr>
        <w:t>H3 (centroid concordance): The IEEE Access–published centroids [13] fitted in the N = 13,668 sample are reproduced within sampling error in the N = 354 subsample [14].</w:t>
      </w:r>
    </w:p>
    <w:p>
      <w:pPr>
        <w:pStyle w:val="ListBullet"/>
        <w:spacing w:line="240" w:lineRule="auto" w:before="0" w:after="0"/>
        <w:jc w:val="both"/>
      </w:pPr>
      <w:r>
        <w:rPr>
          <w:rFonts w:ascii="Times New Roman" w:hAnsi="Times New Roman" w:eastAsia="Times New Roman"/>
          <w:sz w:val="20"/>
        </w:rPr>
        <w:t>H4 (cell-stratified internal consistency): Per-cell propensity estimates p̂_c are stable across alternative bootstrap procedures within each cell.</w:t>
      </w:r>
    </w:p>
    <w:p>
      <w:pPr>
        <w:pStyle w:val="ListBullet"/>
        <w:spacing w:line="240" w:lineRule="auto" w:before="0" w:after="0"/>
        <w:jc w:val="both"/>
      </w:pPr>
      <w:r>
        <w:rPr>
          <w:rFonts w:ascii="Times New Roman" w:hAnsi="Times New Roman" w:eastAsia="Times New Roman"/>
          <w:sz w:val="20"/>
        </w:rPr>
        <w:t>H5 (gender invariance): The HEXACO-harassment association is qualitatively similar across genders (verified via 14-cell vs 28-cell sensitivity).</w:t>
      </w:r>
    </w:p>
    <w:p>
      <w:pPr>
        <w:pStyle w:val="ListBullet"/>
        <w:spacing w:line="240" w:lineRule="auto" w:before="0" w:after="0"/>
        <w:jc w:val="both"/>
      </w:pPr>
      <w:r>
        <w:rPr>
          <w:rFonts w:ascii="Times New Roman" w:hAnsi="Times New Roman" w:eastAsia="Times New Roman"/>
          <w:sz w:val="20"/>
        </w:rPr>
        <w:t>H6 (cross-domain triangulation): Power and gender harassment scales [23], [24] yield concordant cluster-level rankings.</w:t>
      </w:r>
    </w:p>
    <w:p>
      <w:pPr>
        <w:pStyle w:val="ListBullet"/>
        <w:spacing w:line="240" w:lineRule="auto" w:before="0" w:after="0"/>
        <w:jc w:val="both"/>
      </w:pPr>
      <w:r>
        <w:rPr>
          <w:rFonts w:ascii="Times New Roman" w:hAnsi="Times New Roman" w:eastAsia="Times New Roman"/>
          <w:sz w:val="20"/>
        </w:rPr>
        <w:t>H7 (counterfactual ordering): The pre-registered ordering Δ_BA = ΔP_B − ΔP_A and Δ_BC = ΔP_B − ΔP_C is tested via the Berger and Hsu (1996) intersection-union test (IUT) at one-sided α = .05; the configuration is classified as REVERSAL, CONFIRMED, PARTIAL, or AMBIGUOUS.</w:t>
      </w:r>
    </w:p>
    <w:p>
      <w:pPr>
        <w:spacing w:line="240" w:lineRule="auto" w:before="40" w:after="40"/>
      </w:pPr>
      <w:r>
        <w:rPr>
          <w:rFonts w:ascii="Times New Roman" w:hAnsi="Times New Roman" w:eastAsia="Times New Roman"/>
          <w:b/>
          <w:i/>
          <w:sz w:val="20"/>
        </w:rPr>
        <w:t>5) Contribution and roadmap:</w:t>
      </w:r>
    </w:p>
    <w:p>
      <w:pPr>
        <w:spacing w:line="240" w:lineRule="auto" w:before="0" w:after="0"/>
        <w:ind w:firstLine="180"/>
        <w:jc w:val="both"/>
      </w:pPr>
      <w:r>
        <w:rPr>
          <w:rFonts w:ascii="Times New Roman" w:hAnsi="Times New Roman" w:eastAsia="Times New Roman"/>
          <w:sz w:val="20"/>
        </w:rPr>
        <w:t>This study makes four scientific contributions:</w:t>
      </w:r>
    </w:p>
    <w:p>
      <w:pPr>
        <w:pStyle w:val="ListBullet"/>
        <w:spacing w:line="240" w:lineRule="auto" w:before="0" w:after="0"/>
        <w:jc w:val="both"/>
      </w:pPr>
      <w:r>
        <w:rPr>
          <w:rFonts w:ascii="Times New Roman" w:hAnsi="Times New Roman" w:eastAsia="Times New Roman"/>
          <w:sz w:val="20"/>
        </w:rPr>
        <w:t>Methodological: It demonstrates an end-to-end pre-registered counterfactual microsimulation pipeline applicable to workplace-harassment research, with full reproducibility (HDF5 artifacts, fixed seed = 20260429, Docker container, MIT-licensed code; public supplementary archive at OSF DOI 10.17605/OSF.IO/3Y54U), open aggregate data (Stage 0–8 HDF5 artifacts, figures, and a canonical numerical record, freely downloadable from OSF), and IRB-restricted individual-level access (the N = 354 raw dataset is hosted in a Private OSF component with a documented access-request mechanism; methodology described in Tokiwa, 2025, Research Square preprint; centroids retrieved from the IEEE Access clustering paper, Tokiwa, 2026).</w:t>
      </w:r>
    </w:p>
    <w:p>
      <w:pPr>
        <w:pStyle w:val="ListBullet"/>
        <w:spacing w:line="240" w:lineRule="auto" w:before="0" w:after="0"/>
        <w:jc w:val="both"/>
      </w:pPr>
      <w:r>
        <w:rPr>
          <w:rFonts w:ascii="Times New Roman" w:hAnsi="Times New Roman" w:eastAsia="Times New Roman"/>
          <w:sz w:val="20"/>
        </w:rPr>
        <w:t>Empirical: It provides a quantitative apples-to-apples comparison of person-level and system-level intervention contrasts on Japanese workplace-harassment prevalence, with each counterfactual calibrated to effect sizes drawn from prior meta-analyses.</w:t>
      </w:r>
    </w:p>
    <w:p>
      <w:pPr>
        <w:pStyle w:val="ListBullet"/>
        <w:spacing w:line="240" w:lineRule="auto" w:before="0" w:after="0"/>
        <w:jc w:val="both"/>
      </w:pPr>
      <w:r>
        <w:rPr>
          <w:rFonts w:ascii="Times New Roman" w:hAnsi="Times New Roman" w:eastAsia="Times New Roman"/>
          <w:sz w:val="20"/>
        </w:rPr>
        <w:t>Theoretical: It tests the implication of treating HEXACO 7-typology as an intervention target versus as a stratification lens, and reports that the data are consistent with the latter reading. This contributes to ongoing discussions in personality and occupational-health psychology about the conditions under which trait-based prediction translates into trait-based intervention.</w:t>
      </w:r>
    </w:p>
    <w:p>
      <w:pPr>
        <w:pStyle w:val="ListBullet"/>
        <w:spacing w:line="240" w:lineRule="auto" w:before="0" w:after="0"/>
        <w:jc w:val="both"/>
      </w:pPr>
      <w:r>
        <w:rPr>
          <w:rFonts w:ascii="Times New Roman" w:hAnsi="Times New Roman" w:eastAsia="Times New Roman"/>
          <w:sz w:val="20"/>
        </w:rPr>
        <w:t>Substantive: It documents a quantitative ordering — the absolute magnitude of the structural-intervention contrast is approximately five-fold larger than that of the personality-intervention contrast — under realistic prior calibrations of each, and traces the robustness of that ordering across nine pre-registered analytic axes and four cultural-attenuation factors.</w:t>
      </w:r>
    </w:p>
    <w:p>
      <w:pPr>
        <w:spacing w:line="240" w:lineRule="auto" w:before="0" w:after="0"/>
        <w:ind w:firstLine="180"/>
        <w:jc w:val="both"/>
      </w:pPr>
      <w:r>
        <w:rPr>
          <w:rFonts w:ascii="Times New Roman" w:hAnsi="Times New Roman" w:eastAsia="Times New Roman"/>
          <w:sz w:val="20"/>
        </w:rPr>
        <w:t>The remainder of this manuscript is organized as follows. Section 2 details the data sources, sample, and pre-registered analytic procedures. Section 3 reports the 14-cell propensities, national prevalence aggregation, four-tier H1 classification, baseline comparison, sensitivity sweep, and counterfactual contrasts. Section 4 discusses methodological limitations (reduced-form framing, causal under-identification, heterogeneity neglect, static framing), sketches future agent-based extensions, and develops the research implications of the integrated findings. All code, data, and intermediate artifacts are publicly archived at OSF (DOI 10.17605/OSF.IO/3Y54U) and GitHub (https://github.com/etoki/paper).</w:t>
      </w:r>
    </w:p>
    <w:p>
      <w:pPr>
        <w:spacing w:line="240" w:lineRule="auto" w:before="160" w:after="80"/>
        <w:jc w:val="center"/>
      </w:pPr>
      <w:r>
        <w:rPr>
          <w:rFonts w:ascii="Times New Roman" w:hAnsi="Times New Roman" w:eastAsia="Times New Roman"/>
          <w:b/>
          <w:sz w:val="18"/>
        </w:rPr>
        <w:t>II. METHODS</w:t>
      </w:r>
    </w:p>
    <w:p>
      <w:pPr>
        <w:spacing w:line="240" w:lineRule="auto" w:before="0" w:after="0"/>
        <w:ind w:firstLine="180"/>
        <w:jc w:val="both"/>
      </w:pPr>
      <w:r>
        <w:rPr>
          <w:rFonts w:ascii="Times New Roman" w:hAnsi="Times New Roman" w:eastAsia="Times New Roman"/>
          <w:sz w:val="20"/>
        </w:rPr>
        <w:t>All procedures were pre-registered at OSF prior to data analysis (DOI 10.17605/OSF.IO/3Y54U; v2.0 registered/locked 2026-04-30). Code, intermediate artifacts (HDF5), random seeds, and Docker containerization are publicly archived at &lt;https://github.com/etoki/paper&gt;. The analysis is fully reproducible via make reproduce (~30 minutes on a single core). All stochastic operations use the locked seed 20260429.</w:t>
      </w:r>
    </w:p>
    <w:p>
      <w:pPr>
        <w:spacing w:line="240" w:lineRule="auto" w:before="80" w:after="40"/>
      </w:pPr>
      <w:r>
        <w:rPr>
          <w:rFonts w:ascii="Times New Roman" w:hAnsi="Times New Roman" w:eastAsia="Times New Roman"/>
          <w:b/>
          <w:sz w:val="20"/>
        </w:rPr>
        <w:t>A. Data sources</w:t>
      </w:r>
    </w:p>
    <w:p>
      <w:pPr>
        <w:spacing w:line="240" w:lineRule="auto" w:before="40" w:after="40"/>
      </w:pPr>
      <w:r>
        <w:rPr>
          <w:rFonts w:ascii="Times New Roman" w:hAnsi="Times New Roman" w:eastAsia="Times New Roman"/>
          <w:b/>
          <w:i/>
          <w:sz w:val="20"/>
        </w:rPr>
        <w:t>1) Individual-level harassment data (N = 354):</w:t>
      </w:r>
    </w:p>
    <w:p>
      <w:pPr>
        <w:spacing w:line="240" w:lineRule="auto" w:before="0" w:after="0"/>
        <w:ind w:firstLine="180"/>
        <w:jc w:val="both"/>
      </w:pPr>
      <w:r>
        <w:rPr>
          <w:rFonts w:ascii="Times New Roman" w:hAnsi="Times New Roman" w:eastAsia="Times New Roman"/>
          <w:sz w:val="20"/>
        </w:rPr>
        <w:t>We use the Tokiwa harassment preprint dataset [14] (IRB-approved), comprising N = 354 Japanese workplace participants who completed the following self-report measures:</w:t>
      </w:r>
    </w:p>
    <w:p>
      <w:pPr>
        <w:pStyle w:val="ListBullet"/>
        <w:spacing w:line="240" w:lineRule="auto" w:before="0" w:after="0"/>
        <w:jc w:val="both"/>
      </w:pPr>
      <w:r>
        <w:rPr>
          <w:rFonts w:ascii="Times New Roman" w:hAnsi="Times New Roman" w:eastAsia="Times New Roman"/>
          <w:sz w:val="20"/>
        </w:rPr>
        <w:t>HEXACO-60 [25] (Japanese adaptation of Ashton &amp; Lee, 2009): 60-item Likert 1-5 scale yielding six domain scores (H, E, X, A, C, O).</w:t>
      </w:r>
    </w:p>
    <w:p>
      <w:pPr>
        <w:pStyle w:val="ListBullet"/>
        <w:spacing w:line="240" w:lineRule="auto" w:before="0" w:after="0"/>
        <w:jc w:val="both"/>
      </w:pPr>
      <w:r>
        <w:rPr>
          <w:rFonts w:ascii="Times New Roman" w:hAnsi="Times New Roman" w:eastAsia="Times New Roman"/>
          <w:sz w:val="20"/>
        </w:rPr>
        <w:t>Dark Triad scales (Machiavellianism, Narcissism, Psychopathy): used in the common-method-variance diagnostic (Stage 5, below) but not in the primary analysis.</w:t>
      </w:r>
    </w:p>
    <w:p>
      <w:pPr>
        <w:pStyle w:val="ListBullet"/>
        <w:spacing w:line="240" w:lineRule="auto" w:before="0" w:after="0"/>
        <w:jc w:val="both"/>
      </w:pPr>
      <w:r>
        <w:rPr>
          <w:rFonts w:ascii="Times New Roman" w:hAnsi="Times New Roman" w:eastAsia="Times New Roman"/>
          <w:sz w:val="20"/>
        </w:rPr>
        <w:t>Workplace Power Harassment Scale [23]: continuous severity scale measuring past-three-year power-harassment victimization frequency in the participant's workplace.</w:t>
      </w:r>
    </w:p>
    <w:p>
      <w:pPr>
        <w:pStyle w:val="ListBullet"/>
        <w:spacing w:line="240" w:lineRule="auto" w:before="0" w:after="0"/>
        <w:jc w:val="both"/>
      </w:pPr>
      <w:r>
        <w:rPr>
          <w:rFonts w:ascii="Times New Roman" w:hAnsi="Times New Roman" w:eastAsia="Times New Roman"/>
          <w:sz w:val="20"/>
        </w:rPr>
        <w:t>Gender Harassment Scale [24]: continuous severity scale; used as triangulation outcome (H6).</w:t>
      </w:r>
    </w:p>
    <w:p>
      <w:pPr>
        <w:pStyle w:val="ListBullet"/>
        <w:spacing w:line="240" w:lineRule="auto" w:before="0" w:after="0"/>
        <w:jc w:val="both"/>
      </w:pPr>
      <w:r>
        <w:rPr>
          <w:rFonts w:ascii="Times New Roman" w:hAnsi="Times New Roman" w:eastAsia="Times New Roman"/>
          <w:sz w:val="20"/>
        </w:rPr>
        <w:t>Demographics: binary self-reported gender (0 = female, 1 = male), age (continuous), prefecture-level region (categorical).</w:t>
      </w:r>
    </w:p>
    <w:p>
      <w:pPr>
        <w:spacing w:line="240" w:lineRule="auto" w:before="40" w:after="40"/>
      </w:pPr>
      <w:r>
        <w:rPr>
          <w:rFonts w:ascii="Times New Roman" w:hAnsi="Times New Roman" w:eastAsia="Times New Roman"/>
          <w:b/>
          <w:i/>
          <w:sz w:val="20"/>
        </w:rPr>
        <w:t>2) Cluster centroids [13] (N = 13,668):</w:t>
      </w:r>
    </w:p>
    <w:p>
      <w:pPr>
        <w:spacing w:line="240" w:lineRule="auto" w:before="0" w:after="0"/>
        <w:ind w:firstLine="180"/>
        <w:jc w:val="both"/>
      </w:pPr>
      <w:r>
        <w:rPr>
          <w:rFonts w:ascii="Times New Roman" w:hAnsi="Times New Roman" w:eastAsia="Times New Roman"/>
          <w:sz w:val="20"/>
        </w:rPr>
        <w:t>Seven HEXACO cluster centroids were taken from the previously published Tokiwa [13] clustering of N = 13,668 Japanese respondents. Per pre-registration v2.0 Methods Clarification M3, these centroids are treated as fixed parameters; bootstrap confidence intervals are computed conditional on the centroids and do not propagate centroid-estimation uncertainty. This decision aligns with the inferential target of the present study (causal contrasts within a fixed taxonomy) rather than the joint estimation of the taxonomy itself.</w:t>
      </w:r>
    </w:p>
    <w:p>
      <w:pPr>
        <w:spacing w:line="240" w:lineRule="auto" w:before="40" w:after="40"/>
      </w:pPr>
      <w:r>
        <w:rPr>
          <w:rFonts w:ascii="Times New Roman" w:hAnsi="Times New Roman" w:eastAsia="Times New Roman"/>
          <w:b/>
          <w:i/>
          <w:sz w:val="20"/>
        </w:rPr>
        <w:t>3) Population reweighting (Statistics Bureau Labor Force Survey 2022):</w:t>
      </w:r>
    </w:p>
    <w:p>
      <w:pPr>
        <w:spacing w:line="240" w:lineRule="auto" w:before="0" w:after="0"/>
        <w:ind w:firstLine="180"/>
        <w:jc w:val="both"/>
      </w:pPr>
      <w:r>
        <w:rPr>
          <w:rFonts w:ascii="Times New Roman" w:hAnsi="Times New Roman" w:eastAsia="Times New Roman"/>
          <w:sz w:val="20"/>
        </w:rPr>
        <w:t>Marginal gender-by-age proportions for the Japanese working population were obtained from the Labor Force Survey Basic Tabulation 2022 Annual Average, published by the Statistics Bureau, Ministry of Internal Affairs and Communications [26] (PDF retrieved from e-Stat on 2026-04-30 by the investigator and archived at simulation/data/). We use Table 3 (employed persons by age group) restricted to the employed-persons category, yielding a total of 67.23 million persons with age × gender breakdown {15–64, 65+} × {male, female}. The resulting marginals (F = 0.4498, M = 0.5502) replace the v2.0 Stage 1 placeholder (F = 0.5, M = 0.5).</w:t>
      </w:r>
    </w:p>
    <w:p>
      <w:pPr>
        <w:spacing w:line="240" w:lineRule="auto" w:before="40" w:after="40"/>
      </w:pPr>
      <w:r>
        <w:rPr>
          <w:rFonts w:ascii="Times New Roman" w:hAnsi="Times New Roman" w:eastAsia="Times New Roman"/>
          <w:b/>
          <w:i/>
          <w:sz w:val="20"/>
        </w:rPr>
        <w:t>4) MHLW power-harassment victimization targets:</w:t>
      </w:r>
    </w:p>
    <w:p>
      <w:pPr>
        <w:spacing w:line="240" w:lineRule="auto" w:before="0" w:after="0"/>
        <w:ind w:firstLine="180"/>
        <w:jc w:val="both"/>
      </w:pPr>
      <w:r>
        <w:rPr>
          <w:rFonts w:ascii="Times New Roman" w:hAnsi="Times New Roman" w:eastAsia="Times New Roman"/>
          <w:sz w:val="20"/>
        </w:rPr>
        <w:t>Past-three-year power-harassment victimization rates from three MHLW Workplace Harassment Surveys [3] serve as external validation targets for H1:</w:t>
      </w:r>
    </w:p>
    <w:p>
      <w:pPr>
        <w:pStyle w:val="ListBullet"/>
        <w:spacing w:line="240" w:lineRule="auto" w:before="0" w:after="0"/>
        <w:jc w:val="both"/>
      </w:pPr>
      <w:r>
        <w:rPr>
          <w:rFonts w:ascii="Times New Roman" w:hAnsi="Times New Roman" w:eastAsia="Times New Roman"/>
          <w:sz w:val="20"/>
        </w:rPr>
        <w:t>FY2016 (32.5%) — pre-law, primary target;</w:t>
      </w:r>
    </w:p>
    <w:p>
      <w:pPr>
        <w:pStyle w:val="ListBullet"/>
        <w:spacing w:line="240" w:lineRule="auto" w:before="0" w:after="0"/>
        <w:jc w:val="both"/>
      </w:pPr>
      <w:r>
        <w:rPr>
          <w:rFonts w:ascii="Times New Roman" w:hAnsi="Times New Roman" w:eastAsia="Times New Roman"/>
          <w:sz w:val="20"/>
        </w:rPr>
        <w:t>FY2020 (31.4%) — transition period, secondary target;</w:t>
      </w:r>
    </w:p>
    <w:p>
      <w:pPr>
        <w:pStyle w:val="ListBullet"/>
        <w:spacing w:line="240" w:lineRule="auto" w:before="0" w:after="0"/>
        <w:jc w:val="both"/>
      </w:pPr>
      <w:r>
        <w:rPr>
          <w:rFonts w:ascii="Times New Roman" w:hAnsi="Times New Roman" w:eastAsia="Times New Roman"/>
          <w:sz w:val="20"/>
        </w:rPr>
        <w:t>FY2023 (19.3%) — post-law, secondary target.</w:t>
      </w:r>
    </w:p>
    <w:p>
      <w:pPr>
        <w:spacing w:line="240" w:lineRule="auto" w:before="80" w:after="40"/>
      </w:pPr>
      <w:r>
        <w:rPr>
          <w:rFonts w:ascii="Times New Roman" w:hAnsi="Times New Roman" w:eastAsia="Times New Roman"/>
          <w:b/>
          <w:sz w:val="20"/>
        </w:rPr>
        <w:t>B. Pre-registered analytic pipeline</w:t>
      </w:r>
    </w:p>
    <w:p>
      <w:pPr>
        <w:spacing w:line="240" w:lineRule="auto" w:before="0" w:after="0"/>
        <w:ind w:firstLine="180"/>
        <w:jc w:val="both"/>
      </w:pPr>
      <w:r>
        <w:rPr>
          <w:rFonts w:ascii="Times New Roman" w:hAnsi="Times New Roman" w:eastAsia="Times New Roman"/>
          <w:sz w:val="20"/>
        </w:rPr>
        <w:t>The pipeline comprises nine stages (0 through 8), each producing a versioned HDF5 artifact under output/supplementary/. Stages 0–2 implement the H1 confirmatory chain; Stages 3–6 implement sensitivity analyses, baseline comparisons, common-method-variance diagnostics, and target trial documentation; Stages 7–8 implement the H7 counterfactual contrasts and transportability sensitivity. Random number streams across stages are isolated via additive seed offsets to ensure independence (see code/utils_io.py:make_rng).</w:t>
      </w:r>
    </w:p>
    <w:p>
      <w:pPr>
        <w:spacing w:line="240" w:lineRule="auto" w:before="40" w:after="40"/>
      </w:pPr>
      <w:r>
        <w:rPr>
          <w:rFonts w:ascii="Times New Roman" w:hAnsi="Times New Roman" w:eastAsia="Times New Roman"/>
          <w:b/>
          <w:i/>
          <w:sz w:val="20"/>
        </w:rPr>
        <w:t>1) Stage 0: Type assignment, cell propensity, and 28-cell empirical Bayes:</w:t>
      </w:r>
    </w:p>
    <w:p>
      <w:pPr>
        <w:spacing w:line="240" w:lineRule="auto" w:before="0" w:after="0"/>
        <w:ind w:firstLine="180"/>
        <w:jc w:val="both"/>
      </w:pPr>
      <w:r>
        <w:rPr>
          <w:rFonts w:ascii="Times New Roman" w:hAnsi="Times New Roman" w:eastAsia="Times New Roman"/>
          <w:sz w:val="20"/>
        </w:rPr>
        <w:t>Each individual is assigned to the closest cluster (Euclidean nearest-centroid, primary; Methods Clarification M2 also computed soft-assignment with τ ∈ {0.5, 1.0, 2.0} × median nearest-neighbor distance for sensitivity). Outcomes are binarized at the participant-level mean + 0.5 SD (main; sensitivity at + 0.25 and + 1.0 SD).</w:t>
      </w:r>
    </w:p>
    <w:p>
      <w:pPr>
        <w:spacing w:line="240" w:lineRule="auto" w:before="0" w:after="0"/>
        <w:ind w:firstLine="180"/>
        <w:jc w:val="both"/>
      </w:pPr>
      <w:r>
        <w:rPr>
          <w:rFonts w:ascii="Times New Roman" w:hAnsi="Times New Roman" w:eastAsia="Times New Roman"/>
          <w:sz w:val="20"/>
        </w:rPr>
        <w:t>Per-cell propensity p̂_c = X_c / N_c is computed for each of the 14 cells (7 clusters × 2 genders) for the main analysis, and 28 cells (× 2 roles) for the empirical Bayes sensitivity. The role split for the 28-cell sensitivity is operationalized as the top 15% on a Conscientiousness + 0.5 × eXtraversion composite of HEXACO domain scores (notation: "C + 0.5 × X" where C and X are the HEXACO Conscientiousness and eXtraversion domains, respectively); this composite is exploratory and is included as a robustness probe on the 14-cell main analysis rather than as a confirmatory role-classification step (no published validation of this exact composite for harassment perpetration vs victimization is invoked; the 14-cell results without role stratification remain the headline analysis). Per-cell 95% confidence intervals follow the four-step priority cascade (Methods Clarification M4):</w:t>
      </w:r>
    </w:p>
    <w:p>
      <w:pPr>
        <w:pStyle w:val="ListBullet"/>
        <w:spacing w:line="240" w:lineRule="auto" w:before="0" w:after="0"/>
        <w:jc w:val="both"/>
      </w:pPr>
      <w:r>
        <w:rPr>
          <w:rFonts w:ascii="Times New Roman" w:hAnsi="Times New Roman" w:eastAsia="Times New Roman"/>
          <w:sz w:val="20"/>
        </w:rPr>
        <w:t>Clopper-Pearson exact binomial interval for degenerate cells (X_c ∈ {0, N_c});</w:t>
      </w:r>
    </w:p>
    <w:p>
      <w:pPr>
        <w:pStyle w:val="ListBullet"/>
        <w:spacing w:line="240" w:lineRule="auto" w:before="0" w:after="0"/>
        <w:jc w:val="both"/>
      </w:pPr>
      <w:r>
        <w:rPr>
          <w:rFonts w:ascii="Times New Roman" w:hAnsi="Times New Roman" w:eastAsia="Times New Roman"/>
          <w:sz w:val="20"/>
        </w:rPr>
        <w:t>BCa [27] (Bias-Corrected accelerated) with jackknife acceleration parameter â (Methods Clarification m4) when |a| ≤ 10;</w:t>
      </w:r>
    </w:p>
    <w:p>
      <w:pPr>
        <w:pStyle w:val="ListBullet"/>
        <w:spacing w:line="240" w:lineRule="auto" w:before="0" w:after="0"/>
        <w:jc w:val="both"/>
      </w:pPr>
      <w:r>
        <w:rPr>
          <w:rFonts w:ascii="Times New Roman" w:hAnsi="Times New Roman" w:eastAsia="Times New Roman"/>
          <w:sz w:val="20"/>
        </w:rPr>
        <w:t>BC (bias-corrected only) when BCa fails or |a| &gt; 10;</w:t>
      </w:r>
    </w:p>
    <w:p>
      <w:pPr>
        <w:pStyle w:val="ListBullet"/>
        <w:spacing w:line="240" w:lineRule="auto" w:before="0" w:after="0"/>
        <w:jc w:val="both"/>
      </w:pPr>
      <w:r>
        <w:rPr>
          <w:rFonts w:ascii="Times New Roman" w:hAnsi="Times New Roman" w:eastAsia="Times New Roman"/>
          <w:sz w:val="20"/>
        </w:rPr>
        <w:t>Percentile as a final fallback.</w:t>
      </w:r>
    </w:p>
    <w:p>
      <w:pPr>
        <w:spacing w:line="240" w:lineRule="auto" w:before="0" w:after="0"/>
        <w:ind w:firstLine="180"/>
        <w:jc w:val="both"/>
      </w:pPr>
      <w:r>
        <w:rPr>
          <w:rFonts w:ascii="Times New Roman" w:hAnsi="Times New Roman" w:eastAsia="Times New Roman"/>
          <w:sz w:val="20"/>
        </w:rPr>
        <w:t>Empirical Bayes shrinkage on 28 cells uses the method-of-moments hyperprior (μ̂, σ̂², α̂, β̂) with three rejection triggers: (i) bootstrap-stabilized variance ratio σ̂² / [μ̂(1 − μ̂)] &lt; 0.05 (Methods Clarification m1); (ii) max(α̂, β̂) &gt; 100 (v2.0 master); (iii) (α̂ + β̂) / median(N_k) &gt; 5 (Methods Clarification m2). Per-iteration (α̂, β̂) re-estimation in bootstrap follows Carlin and Louis (2000; Methods Clarification M1).</w:t>
      </w:r>
    </w:p>
    <w:p>
      <w:pPr>
        <w:spacing w:line="240" w:lineRule="auto" w:before="40" w:after="40"/>
      </w:pPr>
      <w:r>
        <w:rPr>
          <w:rFonts w:ascii="Times New Roman" w:hAnsi="Times New Roman" w:eastAsia="Times New Roman"/>
          <w:b/>
          <w:i/>
          <w:sz w:val="20"/>
        </w:rPr>
        <w:t>2) Stage 1: National prevalence aggregation:</w:t>
      </w:r>
    </w:p>
    <w:p>
      <w:pPr>
        <w:spacing w:line="240" w:lineRule="auto" w:before="0" w:after="0"/>
        <w:ind w:firstLine="180"/>
        <w:jc w:val="both"/>
      </w:pPr>
      <w:r>
        <w:rPr>
          <w:rFonts w:ascii="Times New Roman" w:hAnsi="Times New Roman" w:eastAsia="Times New Roman"/>
          <w:sz w:val="20"/>
        </w:rPr>
        <w:t>The national prevalence is computed as the weighted sum P̂_t = Σ_c (p̂_c × W_c) / Σ_c W_c, where W_c is the cluster × gender population weight. Cluster proportions remain at the Tokiwa [13] values (M3-fixed; m8 limitation: cluster membership is not in the MHLW data); only the gender marginal is updated to the 2022 working-population value.</w:t>
      </w:r>
    </w:p>
    <w:p>
      <w:pPr>
        <w:spacing w:line="240" w:lineRule="auto" w:before="40" w:after="40"/>
      </w:pPr>
      <w:r>
        <w:rPr>
          <w:rFonts w:ascii="Times New Roman" w:hAnsi="Times New Roman" w:eastAsia="Times New Roman"/>
          <w:b/>
          <w:i/>
          <w:sz w:val="20"/>
        </w:rPr>
        <w:t>3) Stage 2: H1 four-tier classification:</w:t>
      </w:r>
    </w:p>
    <w:p>
      <w:pPr>
        <w:spacing w:line="240" w:lineRule="auto" w:before="0" w:after="0"/>
        <w:ind w:firstLine="180"/>
        <w:jc w:val="both"/>
      </w:pPr>
      <w:r>
        <w:rPr>
          <w:rFonts w:ascii="Times New Roman" w:hAnsi="Times New Roman" w:eastAsia="Times New Roman"/>
          <w:sz w:val="20"/>
        </w:rPr>
        <w:t>Per the v2.0 master Section 5.4, the four-tier H1 hierarchy is:</w:t>
      </w:r>
    </w:p>
    <w:p>
      <w:pPr>
        <w:pStyle w:val="ListBullet"/>
        <w:spacing w:line="240" w:lineRule="auto" w:before="0" w:after="0"/>
        <w:jc w:val="both"/>
      </w:pPr>
      <w:r>
        <w:rPr>
          <w:rFonts w:ascii="Times New Roman" w:hAnsi="Times New Roman" w:eastAsia="Times New Roman"/>
          <w:sz w:val="20"/>
        </w:rPr>
        <w:t>Strict SUCCESS: point MAPE_FY2016 ≤ 30% AND CI upper bound ≤ 30%</w:t>
      </w:r>
    </w:p>
    <w:p>
      <w:pPr>
        <w:pStyle w:val="ListBullet"/>
        <w:spacing w:line="240" w:lineRule="auto" w:before="0" w:after="0"/>
        <w:jc w:val="both"/>
      </w:pPr>
      <w:r>
        <w:rPr>
          <w:rFonts w:ascii="Times New Roman" w:hAnsi="Times New Roman" w:eastAsia="Times New Roman"/>
          <w:sz w:val="20"/>
        </w:rPr>
        <w:t>Standard SUCCESS: point MAPE ≤ 30% (CI upper bound &gt; 30% permitted)</w:t>
      </w:r>
    </w:p>
    <w:p>
      <w:pPr>
        <w:pStyle w:val="ListBullet"/>
        <w:spacing w:line="240" w:lineRule="auto" w:before="0" w:after="0"/>
        <w:jc w:val="both"/>
      </w:pPr>
      <w:r>
        <w:rPr>
          <w:rFonts w:ascii="Times New Roman" w:hAnsi="Times New Roman" w:eastAsia="Times New Roman"/>
          <w:sz w:val="20"/>
        </w:rPr>
        <w:t>PARTIAL SUCCESS: 30% &lt; point MAPE ≤ 60%</w:t>
      </w:r>
    </w:p>
    <w:p>
      <w:pPr>
        <w:pStyle w:val="ListBullet"/>
        <w:spacing w:line="240" w:lineRule="auto" w:before="0" w:after="0"/>
        <w:jc w:val="both"/>
      </w:pPr>
      <w:r>
        <w:rPr>
          <w:rFonts w:ascii="Times New Roman" w:hAnsi="Times New Roman" w:eastAsia="Times New Roman"/>
          <w:sz w:val="20"/>
        </w:rPr>
        <w:t>FAILURE: point MAPE &gt; 60%</w:t>
      </w:r>
    </w:p>
    <w:p>
      <w:pPr>
        <w:spacing w:line="240" w:lineRule="auto" w:before="0" w:after="0"/>
        <w:ind w:firstLine="180"/>
        <w:jc w:val="both"/>
      </w:pPr>
      <w:r>
        <w:rPr>
          <w:rFonts w:ascii="Times New Roman" w:hAnsi="Times New Roman" w:eastAsia="Times New Roman"/>
          <w:sz w:val="20"/>
        </w:rPr>
        <w:t>Per Methods Clarification m3, the headline national MAPE bootstrap uses B = 10,000; per-cell bootstrap remains at B = 2,000.</w:t>
      </w:r>
    </w:p>
    <w:p>
      <w:pPr>
        <w:spacing w:line="240" w:lineRule="auto" w:before="40" w:after="40"/>
      </w:pPr>
      <w:r>
        <w:rPr>
          <w:rFonts w:ascii="Times New Roman" w:hAnsi="Times New Roman" w:eastAsia="Times New Roman"/>
          <w:b/>
          <w:i/>
          <w:sz w:val="20"/>
        </w:rPr>
        <w:t>4) Stage 3: Sensitivity sweep:</w:t>
      </w:r>
    </w:p>
    <w:p>
      <w:pPr>
        <w:spacing w:line="240" w:lineRule="auto" w:before="0" w:after="0"/>
        <w:ind w:firstLine="180"/>
        <w:jc w:val="both"/>
      </w:pPr>
      <w:r>
        <w:rPr>
          <w:rFonts w:ascii="Times New Roman" w:hAnsi="Times New Roman" w:eastAsia="Times New Roman"/>
          <w:sz w:val="20"/>
        </w:rPr>
        <w:t>A one-at-a-time (OAT) sensitivity sweep around the locked main configuration is computed over four parameter families with B = 2,000 per row:</w:t>
      </w:r>
    </w:p>
    <w:p>
      <w:pPr>
        <w:pStyle w:val="ListBullet"/>
        <w:spacing w:line="240" w:lineRule="auto" w:before="0" w:after="0"/>
        <w:jc w:val="both"/>
      </w:pPr>
      <w:r>
        <w:rPr>
          <w:rFonts w:ascii="Times New Roman" w:hAnsi="Times New Roman" w:eastAsia="Times New Roman"/>
          <w:sz w:val="20"/>
        </w:rPr>
        <w:t>Binarization threshold ∈ {mean + 0.25 SD, mean + 0.5 SD (main), mean + 1.0 SD};</w:t>
      </w:r>
    </w:p>
    <w:p>
      <w:pPr>
        <w:pStyle w:val="ListBullet"/>
        <w:spacing w:line="240" w:lineRule="auto" w:before="0" w:after="0"/>
        <w:jc w:val="both"/>
      </w:pPr>
      <w:r>
        <w:rPr>
          <w:rFonts w:ascii="Times New Roman" w:hAnsi="Times New Roman" w:eastAsia="Times New Roman"/>
          <w:sz w:val="20"/>
        </w:rPr>
        <w:t>Soft-assignment τ factor ∈ {0.5, 1.0, 2.0} × median NN distance (Methods Clarification M2);</w:t>
      </w:r>
    </w:p>
    <w:p>
      <w:pPr>
        <w:pStyle w:val="ListBullet"/>
        <w:spacing w:line="240" w:lineRule="auto" w:before="0" w:after="0"/>
        <w:jc w:val="both"/>
      </w:pPr>
      <w:r>
        <w:rPr>
          <w:rFonts w:ascii="Times New Roman" w:hAnsi="Times New Roman" w:eastAsia="Times New Roman"/>
          <w:sz w:val="20"/>
        </w:rPr>
        <w:t>Empirical Bayes shrinkage scale ∈ {0.5×, 1.0× (main), 2.0×} prior pseudocount;</w:t>
      </w:r>
    </w:p>
    <w:p>
      <w:pPr>
        <w:pStyle w:val="ListBullet"/>
        <w:spacing w:line="240" w:lineRule="auto" w:before="0" w:after="0"/>
        <w:jc w:val="both"/>
      </w:pPr>
      <w:r>
        <w:rPr>
          <w:rFonts w:ascii="Times New Roman" w:hAnsi="Times New Roman" w:eastAsia="Times New Roman"/>
          <w:sz w:val="20"/>
        </w:rPr>
        <w:t>Cluster-proportion mass shift ∈ {−0.10, 0.0 (main), +0.10} (proxy for V/f1/f2 uncertainty per v2.0 Section 6.4; full Cartesian sweep deferred to follow-up work due to combinatorial cost).</w:t>
      </w:r>
    </w:p>
    <w:p>
      <w:pPr>
        <w:spacing w:line="240" w:lineRule="auto" w:before="40" w:after="40"/>
      </w:pPr>
      <w:r>
        <w:rPr>
          <w:rFonts w:ascii="Times New Roman" w:hAnsi="Times New Roman" w:eastAsia="Times New Roman"/>
          <w:b/>
          <w:i/>
          <w:sz w:val="20"/>
        </w:rPr>
        <w:t>5) Stage 4: Baseline comparison and H2 ordinal trend:</w:t>
      </w:r>
    </w:p>
    <w:p>
      <w:pPr>
        <w:spacing w:line="240" w:lineRule="auto" w:before="0" w:after="0"/>
        <w:ind w:firstLine="180"/>
        <w:jc w:val="both"/>
      </w:pPr>
      <w:r>
        <w:rPr>
          <w:rFonts w:ascii="Times New Roman" w:hAnsi="Times New Roman" w:eastAsia="Times New Roman"/>
          <w:sz w:val="20"/>
        </w:rPr>
        <w:t>Five baselines (B0–B4) of increasing sophistication are compared via cell-stratified bootstrap MAPE_FY2016:</w:t>
      </w:r>
    </w:p>
    <w:p>
      <w:pPr>
        <w:pStyle w:val="ListBullet"/>
        <w:spacing w:line="240" w:lineRule="auto" w:before="0" w:after="0"/>
        <w:jc w:val="both"/>
      </w:pPr>
      <w:r>
        <w:rPr>
          <w:rFonts w:ascii="Times New Roman" w:hAnsi="Times New Roman" w:eastAsia="Times New Roman"/>
          <w:sz w:val="20"/>
        </w:rPr>
        <w:t>B0: predicts MHLW grand mean (uniform);</w:t>
      </w:r>
    </w:p>
    <w:p>
      <w:pPr>
        <w:pStyle w:val="ListBullet"/>
        <w:spacing w:line="240" w:lineRule="auto" w:before="0" w:after="0"/>
        <w:jc w:val="both"/>
      </w:pPr>
      <w:r>
        <w:rPr>
          <w:rFonts w:ascii="Times New Roman" w:hAnsi="Times New Roman" w:eastAsia="Times New Roman"/>
          <w:sz w:val="20"/>
        </w:rPr>
        <w:t>B1: gender-only logistic regression;</w:t>
      </w:r>
    </w:p>
    <w:p>
      <w:pPr>
        <w:pStyle w:val="ListBullet"/>
        <w:spacing w:line="240" w:lineRule="auto" w:before="0" w:after="0"/>
        <w:jc w:val="both"/>
      </w:pPr>
      <w:r>
        <w:rPr>
          <w:rFonts w:ascii="Times New Roman" w:hAnsi="Times New Roman" w:eastAsia="Times New Roman"/>
          <w:sz w:val="20"/>
        </w:rPr>
        <w:t>B2: HEXACO 6-domain logistic regression;</w:t>
      </w:r>
    </w:p>
    <w:p>
      <w:pPr>
        <w:pStyle w:val="ListBullet"/>
        <w:spacing w:line="240" w:lineRule="auto" w:before="0" w:after="0"/>
        <w:jc w:val="both"/>
      </w:pPr>
      <w:r>
        <w:rPr>
          <w:rFonts w:ascii="Times New Roman" w:hAnsi="Times New Roman" w:eastAsia="Times New Roman"/>
          <w:sz w:val="20"/>
        </w:rPr>
        <w:t>B3: 14-cell conditional propensity (the main pipeline);</w:t>
      </w:r>
    </w:p>
    <w:p>
      <w:pPr>
        <w:pStyle w:val="ListBullet"/>
        <w:spacing w:line="240" w:lineRule="auto" w:before="0" w:after="0"/>
        <w:jc w:val="both"/>
      </w:pPr>
      <w:r>
        <w:rPr>
          <w:rFonts w:ascii="Times New Roman" w:hAnsi="Times New Roman" w:eastAsia="Times New Roman"/>
          <w:sz w:val="20"/>
        </w:rPr>
        <w:t>B4: extended with age and age × cluster interactions (industry breakdown deferred to follow-up; m8 limitation).</w:t>
      </w:r>
    </w:p>
    <w:p>
      <w:pPr>
        <w:spacing w:line="240" w:lineRule="auto" w:before="0" w:after="0"/>
        <w:ind w:firstLine="180"/>
        <w:jc w:val="both"/>
      </w:pPr>
      <w:r>
        <w:rPr>
          <w:rFonts w:ascii="Times New Roman" w:hAnsi="Times New Roman" w:eastAsia="Times New Roman"/>
          <w:sz w:val="20"/>
        </w:rPr>
        <w:t>H2 is tested via the Bonferroni-Holm-corrected family of pairwise inequalities (B0–B1, B1–B2, B2–B3, B3–B4) with a one-sided α = 0.05; Page's L (1963) ordinal trend test is reported as auxiliary (Methods Clarification n4).</w:t>
      </w:r>
    </w:p>
    <w:p>
      <w:pPr>
        <w:spacing w:line="240" w:lineRule="auto" w:before="40" w:after="40"/>
      </w:pPr>
      <w:r>
        <w:rPr>
          <w:rFonts w:ascii="Times New Roman" w:hAnsi="Times New Roman" w:eastAsia="Times New Roman"/>
          <w:b/>
          <w:i/>
          <w:sz w:val="20"/>
        </w:rPr>
        <w:t>6) Stage 5: Common-method-variance diagnostic:</w:t>
      </w:r>
    </w:p>
    <w:p>
      <w:pPr>
        <w:spacing w:line="240" w:lineRule="auto" w:before="0" w:after="0"/>
        <w:ind w:firstLine="180"/>
        <w:jc w:val="both"/>
      </w:pPr>
      <w:r>
        <w:rPr>
          <w:rFonts w:ascii="Times New Roman" w:hAnsi="Times New Roman" w:eastAsia="Times New Roman"/>
          <w:sz w:val="20"/>
        </w:rPr>
        <w:t>CMV is assessed via Harman's single-factor test [28] on 11 standardized variables (6 HEXACO domains + 3 Dark Triad + 2 harassment continuous scales) using PCA on standardized inputs after listwise deletion. The 50% first-factor variance threshold (Methods Clarifications m8) demarcates "limited concern" from "concern present." The Lindell and Whitney (2001) marker-variable correction uses HEXACO Openness as the theoretical marker, given its weak theoretical link to harassment outcomes relative to HH/A/E.</w:t>
      </w:r>
    </w:p>
    <w:p>
      <w:pPr>
        <w:spacing w:line="240" w:lineRule="auto" w:before="40" w:after="40"/>
      </w:pPr>
      <w:r>
        <w:rPr>
          <w:rFonts w:ascii="Times New Roman" w:hAnsi="Times New Roman" w:eastAsia="Times New Roman"/>
          <w:b/>
          <w:i/>
          <w:sz w:val="20"/>
        </w:rPr>
        <w:t>7) Stage 6: Target trial PICO documentation:</w:t>
      </w:r>
    </w:p>
    <w:p>
      <w:pPr>
        <w:spacing w:line="240" w:lineRule="auto" w:before="0" w:after="0"/>
        <w:ind w:firstLine="180"/>
        <w:jc w:val="both"/>
      </w:pPr>
      <w:r>
        <w:rPr>
          <w:rFonts w:ascii="Times New Roman" w:hAnsi="Times New Roman" w:eastAsia="Times New Roman"/>
          <w:sz w:val="20"/>
        </w:rPr>
        <w:t>Stage 6 produces a metadata-only artifact documenting the target trial [17] PICO and four identifying assumptions: consistency, exchangeability, positivity, and SUTVA (strengthened with Hudgens &amp; Halloran, 2008 peer-effect framework per Methods Clarification m6).</w:t>
      </w:r>
    </w:p>
    <w:p>
      <w:pPr>
        <w:spacing w:line="240" w:lineRule="auto" w:before="40" w:after="40"/>
      </w:pPr>
      <w:r>
        <w:rPr>
          <w:rFonts w:ascii="Times New Roman" w:hAnsi="Times New Roman" w:eastAsia="Times New Roman"/>
          <w:b/>
          <w:i/>
          <w:sz w:val="20"/>
        </w:rPr>
        <w:t>8) Stage 7: Counterfactual ΔP_A, ΔP_B, ΔP_C and H7 IUT:</w:t>
      </w:r>
    </w:p>
    <w:p>
      <w:pPr>
        <w:spacing w:line="240" w:lineRule="auto" w:before="0" w:after="0"/>
        <w:ind w:firstLine="180"/>
        <w:jc w:val="both"/>
      </w:pPr>
      <w:r>
        <w:rPr>
          <w:rFonts w:ascii="Times New Roman" w:hAnsi="Times New Roman" w:eastAsia="Times New Roman"/>
          <w:sz w:val="20"/>
        </w:rPr>
        <w:t>Counterfactual A applies a +0.3 SD shift to HEXACO H, A, and E for every individual, recomputes nearest-centroid cluster membership, recomputes per-cell propensity, re-aggregates via Stage 1 weights, and produces ΔP_A as the per-bootstrap difference between counterfactual and baseline national prevalence. Per Methods Clarification m5, positivity is quantitatively diagnosed via the cell-level ratio ρ_{c, x = A} = (counterfactual cell N) / (observed cell N); cells with ρ &lt; 0.10 are flagged, and intervention is downgraded from confirmatory to exploratory if flagged_weight ≥ 20%.</w:t>
      </w:r>
    </w:p>
    <w:p>
      <w:pPr>
        <w:spacing w:line="240" w:lineRule="auto" w:before="0" w:after="0"/>
        <w:ind w:firstLine="180"/>
        <w:jc w:val="both"/>
      </w:pPr>
      <w:r>
        <w:rPr>
          <w:rFonts w:ascii="Times New Roman" w:hAnsi="Times New Roman" w:eastAsia="Times New Roman"/>
          <w:sz w:val="20"/>
        </w:rPr>
        <w:t>Counterfactual B applies a +0.40 SD shift in Honesty-Humility (code/stage7_counterfactual.py:DELTA_B_MAIN_SD) only to individuals whose baseline nearest-centroid cluster is already in the pre-registered low-prevalence target set {0, 4, 6}, leaving all other individuals' HEXACO scores unchanged. Following the targeted shift, all individuals are re-classified by nearest-centroid on the post-intervention HEXACO matrix, per-cell propensities are re-computed from the realized binary outcomes within the new cell assignments, and ΔP_B is reported per-bootstrap as the difference between counterfactual and baseline national prevalence. This operationalization matches pre-registration v2.0 Section 5.7 ("HH := HH + δ_B × SD(HH) for individuals in Cluster ∈ {0, 4, 6}") and Methods Clarifications Log n3 [29] (HH_i otherwise"). Positivity is computed via ρ_{c, B} = (count of individuals reassigned into target Cluster c after the shift) / (count of individuals in target Cluster c at baseline) and is downgraded by the same m5 rule as Counterfactual A.</w:t>
      </w:r>
    </w:p>
    <w:p>
      <w:pPr>
        <w:spacing w:line="240" w:lineRule="auto" w:before="0" w:after="0"/>
        <w:ind w:firstLine="180"/>
        <w:jc w:val="both"/>
      </w:pPr>
      <w:r>
        <w:rPr>
          <w:rFonts w:ascii="Times New Roman" w:hAnsi="Times New Roman" w:eastAsia="Times New Roman"/>
          <w:sz w:val="20"/>
        </w:rPr>
        <w:t>Counterfactual C multiplies cell-level propensity by 0.80 uniformly across all cells while leaving HEXACO scores unchanged. The 20% reduction is calibrated against three meta-analyses [5], [21], [22] and the MHLW FY2016–FY2023 natural experiment (32.5% → 19.3%; −13.2pp ≈ −40.6% relative). Positivity for C is trivially preserved (ρ ≡ 1) per pre-registration v2.0 Section 5.7.</w:t>
      </w:r>
    </w:p>
    <w:p>
      <w:pPr>
        <w:spacing w:line="240" w:lineRule="auto" w:before="0" w:after="0"/>
        <w:ind w:firstLine="180"/>
        <w:jc w:val="both"/>
      </w:pPr>
      <w:r>
        <w:rPr>
          <w:rFonts w:ascii="Times New Roman" w:hAnsi="Times New Roman" w:eastAsia="Times New Roman"/>
          <w:sz w:val="20"/>
        </w:rPr>
        <w:t>The H7 intersection-union test [30] (Methods Clarification m7) computes one-sided 95% lower bounds L_BA and L_BC for ΔP_B − ΔP_A and ΔP_B − ΔP_C, respectively, with bootstrap-resampled cell data (B = 2,000). The configuration is classified per the m7 priority cascade implemented in code/stage7_counterfactual.py:h7_iut:</w:t>
      </w:r>
    </w:p>
    <w:p>
      <w:pPr>
        <w:pStyle w:val="ListBullet"/>
        <w:spacing w:line="240" w:lineRule="auto" w:before="0" w:after="0"/>
        <w:jc w:val="both"/>
      </w:pPr>
      <w:r>
        <w:rPr>
          <w:rFonts w:ascii="Times New Roman" w:hAnsi="Times New Roman" w:eastAsia="Times New Roman"/>
          <w:sz w:val="20"/>
        </w:rPr>
        <w:t>REVERSAL (priority 1): point ΔP_B &lt; point ΔP_A OR point ΔP_B &lt; point ΔP_C (B is dominated by A or C in point estimate, indicating that the pre-registered hypothesis ordering ΔP_B &gt; {ΔP_A, ΔP_C} is reversed);</w:t>
      </w:r>
    </w:p>
    <w:p>
      <w:pPr>
        <w:pStyle w:val="ListBullet"/>
        <w:spacing w:line="240" w:lineRule="auto" w:before="0" w:after="0"/>
        <w:jc w:val="both"/>
      </w:pPr>
      <w:r>
        <w:rPr>
          <w:rFonts w:ascii="Times New Roman" w:hAnsi="Times New Roman" w:eastAsia="Times New Roman"/>
          <w:sz w:val="20"/>
        </w:rPr>
        <w:t>CONFIRMED: L_BA &gt; 0 AND L_BC &gt; 0 (B dominates both A and C in CI lower bound);</w:t>
      </w:r>
    </w:p>
    <w:p>
      <w:pPr>
        <w:pStyle w:val="ListBullet"/>
        <w:spacing w:line="240" w:lineRule="auto" w:before="0" w:after="0"/>
        <w:jc w:val="both"/>
      </w:pPr>
      <w:r>
        <w:rPr>
          <w:rFonts w:ascii="Times New Roman" w:hAnsi="Times New Roman" w:eastAsia="Times New Roman"/>
          <w:sz w:val="20"/>
        </w:rPr>
        <w:t>PARTIAL: exactly one of L_BA, L_BC &gt; 0;</w:t>
      </w:r>
    </w:p>
    <w:p>
      <w:pPr>
        <w:pStyle w:val="ListBullet"/>
        <w:spacing w:line="240" w:lineRule="auto" w:before="0" w:after="0"/>
        <w:jc w:val="both"/>
      </w:pPr>
      <w:r>
        <w:rPr>
          <w:rFonts w:ascii="Times New Roman" w:hAnsi="Times New Roman" w:eastAsia="Times New Roman"/>
          <w:sz w:val="20"/>
        </w:rPr>
        <w:t>AMBIGUOUS: neither lower bound &gt; 0 (CIs allow zero or reversal).</w:t>
      </w:r>
    </w:p>
    <w:p>
      <w:pPr>
        <w:spacing w:line="240" w:lineRule="auto" w:before="40" w:after="40"/>
      </w:pPr>
      <w:r>
        <w:rPr>
          <w:rFonts w:ascii="Times New Roman" w:hAnsi="Times New Roman" w:eastAsia="Times New Roman"/>
          <w:b/>
          <w:i/>
          <w:sz w:val="20"/>
        </w:rPr>
        <w:t>9) Stage 8: Transportability factor sweep:</w:t>
      </w:r>
    </w:p>
    <w:p>
      <w:pPr>
        <w:spacing w:line="240" w:lineRule="auto" w:before="0" w:after="0"/>
        <w:ind w:firstLine="180"/>
        <w:jc w:val="both"/>
      </w:pPr>
      <w:r>
        <w:rPr>
          <w:rFonts w:ascii="Times New Roman" w:hAnsi="Times New Roman" w:eastAsia="Times New Roman"/>
          <w:sz w:val="20"/>
        </w:rPr>
        <w:t>Per v2.0 Section 5.8 (cultural attenuation), the bootstrap distribution of each ΔP_x is multiplied by a transportability factor F ∈ {0.3, 0.5, 0.7, 1.0}, anchored as:</w:t>
      </w:r>
    </w:p>
    <w:p>
      <w:pPr>
        <w:pStyle w:val="ListBullet"/>
        <w:spacing w:line="240" w:lineRule="auto" w:before="0" w:after="0"/>
        <w:jc w:val="both"/>
      </w:pPr>
      <w:r>
        <w:rPr>
          <w:rFonts w:ascii="Times New Roman" w:hAnsi="Times New Roman" w:eastAsia="Times New Roman"/>
          <w:sz w:val="20"/>
        </w:rPr>
        <w:t>F = 0.3: Conservative cross-cultural attenuation (worst-case anchor; supported by Power et al. 2013 cross-continent variability findings);</w:t>
      </w:r>
    </w:p>
    <w:p>
      <w:pPr>
        <w:pStyle w:val="ListBullet"/>
        <w:spacing w:line="240" w:lineRule="auto" w:before="0" w:after="0"/>
        <w:jc w:val="both"/>
      </w:pPr>
      <w:r>
        <w:rPr>
          <w:rFonts w:ascii="Times New Roman" w:hAnsi="Times New Roman" w:eastAsia="Times New Roman"/>
          <w:sz w:val="20"/>
        </w:rPr>
        <w:t>F = 0.5: Nielsen et al. [6] Asia/Oceania attenuation expected (r = .16 vs European r = .33);</w:t>
      </w:r>
    </w:p>
    <w:p>
      <w:pPr>
        <w:pStyle w:val="ListBullet"/>
        <w:spacing w:line="240" w:lineRule="auto" w:before="0" w:after="0"/>
        <w:jc w:val="both"/>
      </w:pPr>
      <w:r>
        <w:rPr>
          <w:rFonts w:ascii="Times New Roman" w:hAnsi="Times New Roman" w:eastAsia="Times New Roman"/>
          <w:sz w:val="20"/>
        </w:rPr>
        <w:t>F = 0.7: Mild attenuation (intermediate);</w:t>
      </w:r>
    </w:p>
    <w:p>
      <w:pPr>
        <w:pStyle w:val="ListBullet"/>
        <w:spacing w:line="240" w:lineRule="auto" w:before="0" w:after="0"/>
        <w:jc w:val="both"/>
      </w:pPr>
      <w:r>
        <w:rPr>
          <w:rFonts w:ascii="Times New Roman" w:hAnsi="Times New Roman" w:eastAsia="Times New Roman"/>
          <w:sz w:val="20"/>
        </w:rPr>
        <w:t>F = 1.0: Reference (no attenuation).</w:t>
      </w:r>
    </w:p>
    <w:p>
      <w:pPr>
        <w:spacing w:line="240" w:lineRule="auto" w:before="0" w:after="0"/>
        <w:ind w:firstLine="180"/>
        <w:jc w:val="both"/>
      </w:pPr>
      <w:r>
        <w:rPr>
          <w:rFonts w:ascii="Times New Roman" w:hAnsi="Times New Roman" w:eastAsia="Times New Roman"/>
          <w:sz w:val="20"/>
        </w:rPr>
        <w:t>H7 is re-classified per attenuated factor to verify robustness.</w:t>
      </w:r>
    </w:p>
    <w:p>
      <w:pPr>
        <w:spacing w:line="240" w:lineRule="auto" w:before="80" w:after="40"/>
      </w:pPr>
      <w:r>
        <w:rPr>
          <w:rFonts w:ascii="Times New Roman" w:hAnsi="Times New Roman" w:eastAsia="Times New Roman"/>
          <w:b/>
          <w:sz w:val="20"/>
        </w:rPr>
        <w:t>C. Reproducibility</w:t>
      </w:r>
    </w:p>
    <w:p>
      <w:pPr>
        <w:spacing w:line="240" w:lineRule="auto" w:before="0" w:after="0"/>
        <w:ind w:firstLine="180"/>
        <w:jc w:val="both"/>
      </w:pPr>
      <w:r>
        <w:rPr>
          <w:rFonts w:ascii="Times New Roman" w:hAnsi="Times New Roman" w:eastAsia="Times New Roman"/>
          <w:sz w:val="20"/>
        </w:rPr>
        <w:t>All stochastic operations use seed 20260429 (Methods Clarification M3). HDF5 artifacts at each stage include the seed, version, OSF DOI, and stage-specific provenance metadata as root-level attributes, enabling full audit-trail reconstruction. Verification hashes for all artifacts are computed via simulation/code/verify_reproduction.py and compared against reference_hashes.json. The Docker container Dockerfile and the Makefile reproduce target encapsulate the full pipeline. A 56-test pytest suite (including the MHLW loader tests activated under Phase 1) guards against regression in core utilities.</w:t>
      </w:r>
    </w:p>
    <w:p>
      <w:pPr>
        <w:spacing w:line="240" w:lineRule="auto" w:before="80" w:after="40"/>
      </w:pPr>
      <w:r>
        <w:rPr>
          <w:rFonts w:ascii="Times New Roman" w:hAnsi="Times New Roman" w:eastAsia="Times New Roman"/>
          <w:b/>
          <w:sz w:val="20"/>
        </w:rPr>
        <w:t>D. Software and statistical environment</w:t>
      </w:r>
    </w:p>
    <w:p>
      <w:pPr>
        <w:spacing w:line="240" w:lineRule="auto" w:before="0" w:after="0"/>
        <w:ind w:firstLine="180"/>
        <w:jc w:val="both"/>
      </w:pPr>
      <w:r>
        <w:rPr>
          <w:rFonts w:ascii="Times New Roman" w:hAnsi="Times New Roman" w:eastAsia="Times New Roman"/>
          <w:sz w:val="20"/>
        </w:rPr>
        <w:t>Analysis was conducted in Python 3.11.15 using NumPy 2.x, SciPy 1.x, pandas 2.x, scikit-learn 1.x, h5py 3.x, and statsmodels 0.14.x (full pinned versions in pyproject.toml). All code is publicly available under MIT license at &lt;https://github.com/etoki/paper/tree/main/simulation&gt; and archived at OSF (DOI 10.17605/OSF.IO/3Y54U). The pre-registration is locked at OSF (DOI 10.17605/OSF.IO/3Y54U) with the v1.1 → v2.0 public diff document and v2.0 Methods Clarifications Log (Section 6.5 Level 1 deviation; SHA-256 fcaaf0d...) hosted alongside the registration.</w:t>
      </w:r>
    </w:p>
    <w:p>
      <w:pPr>
        <w:spacing w:line="240" w:lineRule="auto" w:before="80" w:after="40"/>
      </w:pPr>
      <w:r>
        <w:rPr>
          <w:rFonts w:ascii="Times New Roman" w:hAnsi="Times New Roman" w:eastAsia="Times New Roman"/>
          <w:b/>
          <w:sz w:val="20"/>
        </w:rPr>
        <w:t>E. Data availability</w:t>
      </w:r>
    </w:p>
    <w:p>
      <w:pPr>
        <w:spacing w:line="240" w:lineRule="auto" w:before="0" w:after="0"/>
        <w:ind w:firstLine="180"/>
        <w:jc w:val="both"/>
      </w:pPr>
      <w:r>
        <w:rPr>
          <w:rFonts w:ascii="Times New Roman" w:hAnsi="Times New Roman" w:eastAsia="Times New Roman"/>
          <w:sz w:val="20"/>
        </w:rPr>
        <w:t>This study's data and reproducibility artifacts are deposited on a tiered basis:</w:t>
      </w:r>
    </w:p>
    <w:p>
      <w:pPr>
        <w:pStyle w:val="ListBullet"/>
        <w:spacing w:line="240" w:lineRule="auto" w:before="0" w:after="0"/>
        <w:jc w:val="both"/>
      </w:pPr>
      <w:r>
        <w:rPr>
          <w:rFonts w:ascii="Times New Roman" w:hAnsi="Times New Roman" w:eastAsia="Times New Roman"/>
          <w:sz w:val="20"/>
        </w:rPr>
        <w:t>Public tier (no access request required): Stage 0–8 supplementary HDF5 artifacts, Figures 1–6 (PNG/PDF/SVG), the canonical numerical record (canonical_numbers.md), and SHA-256 reference hashes (reference_hashes.json) are openly available at the OSF v2.0 working project (osf.io/3hxz6) under v2.0/v2.0_supplementary.tar.gz, and reproducible from source via make reproduce on the GitHub repository.</w:t>
      </w:r>
    </w:p>
    <w:p>
      <w:pPr>
        <w:pStyle w:val="ListBullet"/>
        <w:spacing w:line="240" w:lineRule="auto" w:before="0" w:after="0"/>
        <w:jc w:val="both"/>
      </w:pPr>
      <w:r>
        <w:rPr>
          <w:rFonts w:ascii="Times New Roman" w:hAnsi="Times New Roman" w:eastAsia="Times New Roman"/>
          <w:sz w:val="20"/>
        </w:rPr>
        <w:t>Restricted tier (IRB-approved access request): The N = 354 individual-level harassment dataset is hosted in a Private OSF component (v2.0 IRB-Restricted Individual Data) linked from the v2.0 working project. The parent project's public Wiki at https://osf.io/3hxz6/wiki/home/ documents the four data-use terms (research-purpose-bounded use; non-redistribution; required citation of Tokiwa 2025 Research Square preprint and the v2.0 OSF DOI; IRB acknowledgement) and the request procedure (click "Request access" on the Component page; provide institutional affiliation, IRB approval ID, and intended research use). Approved requesters are added as read-only contributors within 14 days. Methodological details of the underlying survey are reported in Tokiwa [14].</w:t>
      </w:r>
    </w:p>
    <w:p>
      <w:pPr>
        <w:pStyle w:val="ListBullet"/>
        <w:spacing w:line="240" w:lineRule="auto" w:before="0" w:after="0"/>
        <w:jc w:val="both"/>
      </w:pPr>
      <w:r>
        <w:rPr>
          <w:rFonts w:ascii="Times New Roman" w:hAnsi="Times New Roman" w:eastAsia="Times New Roman"/>
          <w:sz w:val="20"/>
        </w:rPr>
        <w:t>External public sources: The Statistics Bureau (MIC) Labour Force Survey 2022 Annual Average tabulations used for population reweighting are publicly archived in the repository at simulation/data/mic_labor_force_2022.csv (provenance: e-Stat retrieval 2026-04-30; the file was previously named mhlw_labor_force_2022.csv and renamed to reflect the correct MIC provenance).</w:t>
      </w:r>
    </w:p>
    <w:p>
      <w:pPr>
        <w:pStyle w:val="ListBullet"/>
        <w:spacing w:line="240" w:lineRule="auto" w:before="0" w:after="0"/>
        <w:jc w:val="both"/>
      </w:pPr>
      <w:r>
        <w:rPr>
          <w:rFonts w:ascii="Times New Roman" w:hAnsi="Times New Roman" w:eastAsia="Times New Roman"/>
          <w:sz w:val="20"/>
        </w:rPr>
        <w:t>Pre-registration: v2.0 master document, v1.1 → v2.0 public diff, and the Section 6.5 Level 1 Methods Clarifications Log are publicly accessible at the v2.0 registration page (osf.io/3y54u, DOI 10.17605/OSF.IO/3Y54U).</w:t>
      </w:r>
    </w:p>
    <w:p>
      <w:pPr>
        <w:spacing w:line="240" w:lineRule="auto" w:before="160" w:after="80"/>
        <w:jc w:val="center"/>
      </w:pPr>
      <w:r>
        <w:rPr>
          <w:rFonts w:ascii="Times New Roman" w:hAnsi="Times New Roman" w:eastAsia="Times New Roman"/>
          <w:b/>
          <w:sz w:val="18"/>
        </w:rPr>
        <w:t>III. RESULTS</w:t>
      </w:r>
    </w:p>
    <w:p>
      <w:pPr>
        <w:spacing w:line="240" w:lineRule="auto" w:before="0" w:after="0"/>
        <w:ind w:firstLine="180"/>
        <w:jc w:val="both"/>
      </w:pPr>
      <w:r>
        <w:rPr>
          <w:rFonts w:ascii="Times New Roman" w:hAnsi="Times New Roman" w:eastAsia="Times New Roman"/>
          <w:sz w:val="20"/>
        </w:rPr>
        <w:t>All results are reported using the locked seed 20260429. Numerical values are reproduced verbatim from the HDF5 artifacts under output/supplementary/. The full numerical record (~ 600 KB of HDF5 artifacts across 9 pipeline stages, plus ~ 2.2 MB of figures in PNG/PDF/SVG, totaling ~ 2.8 MB) is publicly archived at OSF DOI 10.17605/OSF.IO/3Y54U; SHA-256 hashes for byte-identical reproduction verification are committed in simulation/output/reference_hashes.json.</w:t>
      </w:r>
    </w:p>
    <w:p>
      <w:pPr>
        <w:spacing w:line="240" w:lineRule="auto" w:before="80" w:after="40"/>
      </w:pPr>
      <w:r>
        <w:rPr>
          <w:rFonts w:ascii="Times New Roman" w:hAnsi="Times New Roman" w:eastAsia="Times New Roman"/>
          <w:b/>
          <w:sz w:val="20"/>
        </w:rPr>
        <w:t>A. Sample characteristics and 14-cell propensity (Stage 0)</w:t>
      </w:r>
    </w:p>
    <w:p>
      <w:pPr>
        <w:spacing w:line="240" w:lineRule="auto" w:before="0" w:after="0"/>
        <w:ind w:firstLine="180"/>
        <w:jc w:val="both"/>
      </w:pPr>
      <w:r>
        <w:rPr>
          <w:rFonts w:ascii="Times New Roman" w:hAnsi="Times New Roman" w:eastAsia="Times New Roman"/>
          <w:sz w:val="20"/>
        </w:rPr>
        <w:t>The N = 354 sample was assigned to 14 cells (7 HEXACO clusters × 2 genders) via Euclidean nearest-centroid hard-assignment, using the Tokiwa [13] centroids as fixed parameters. Cell sizes ranged from 10 to 70 individuals (median = 18), with no degenerate (N = 0) cells. Cell-level past-three-year power-harassment victimization rates ranged from 0.000 to 0.400 (mean across cells = 0.181).</w:t>
      </w:r>
    </w:p>
    <w:p>
      <w:pPr>
        <w:spacing w:line="240" w:lineRule="auto" w:before="0" w:after="0"/>
        <w:ind w:firstLine="180"/>
        <w:jc w:val="both"/>
      </w:pPr>
      <w:r>
        <w:rPr>
          <w:rFonts w:ascii="Times New Roman" w:hAnsi="Times New Roman" w:eastAsia="Times New Roman"/>
          <w:sz w:val="20"/>
        </w:rPr>
        <w:t>Per-cell 95% confidence intervals followed the four-step priority cascade described in Methods (Stage 0 specification). Of the 14 cells, 13 were resolved at the BCa stage and 1 cell (cluster × gender index 11; N = 12, X = 0) was resolved at the Clopper-Pearson stage as the M4 cascade prescribes for degenerate cells (X_c ∈ {0, N_c}). No cells required the BC or Percentile fallbacks, confirming that the v2.0 master Section 5.1 priority cascade operates as designed for the realized data structure.</w:t>
      </w:r>
    </w:p>
    <w:p>
      <w:pPr>
        <w:spacing w:line="240" w:lineRule="auto" w:before="80" w:after="40"/>
      </w:pPr>
      <w:r>
        <w:rPr>
          <w:rFonts w:ascii="Times New Roman" w:hAnsi="Times New Roman" w:eastAsia="Times New Roman"/>
          <w:b/>
          <w:sz w:val="20"/>
        </w:rPr>
        <w:t>B. National prevalence and H1 four-tier classification (Stages 1–2)</w:t>
      </w:r>
    </w:p>
    <w:p>
      <w:pPr>
        <w:spacing w:line="240" w:lineRule="auto" w:before="0" w:after="0"/>
        <w:ind w:firstLine="180"/>
        <w:jc w:val="both"/>
      </w:pPr>
      <w:r>
        <w:rPr>
          <w:rFonts w:ascii="Times New Roman" w:hAnsi="Times New Roman" w:eastAsia="Times New Roman"/>
          <w:sz w:val="20"/>
        </w:rPr>
        <w:t>After re-weighting with Statistics Bureau (MIC) Labor Force Survey 2022 marginals (F = 0.4498, M = 0.5502; total = 67.23 million employed persons), the model-based national past-three-year power-harassment prevalence was P̂ = 0.1744 (point estimate), corresponding to 17.44%.</w:t>
      </w:r>
    </w:p>
    <w:p>
      <w:pPr>
        <w:spacing w:line="240" w:lineRule="auto" w:before="0" w:after="0"/>
        <w:ind w:firstLine="180"/>
        <w:jc w:val="both"/>
      </w:pPr>
      <w:r>
        <w:rPr>
          <w:rFonts w:ascii="Times New Roman" w:hAnsi="Times New Roman" w:eastAsia="Times New Roman"/>
          <w:sz w:val="20"/>
        </w:rPr>
        <w:t>Per the v2.0 master Section 5.4 four-tier judgment hierarchy, the H1 results across three MHLW validation periods are summarized in Table 1.</w:t>
      </w:r>
    </w:p>
    <w:p>
      <w:pPr>
        <w:spacing w:line="240" w:lineRule="auto" w:before="0" w:after="0"/>
        <w:ind w:firstLine="180"/>
        <w:jc w:val="both"/>
      </w:pPr>
      <w:r>
        <w:rPr>
          <w:rFonts w:ascii="Times New Roman" w:hAnsi="Times New Roman" w:eastAsia="Times New Roman"/>
          <w:sz w:val="20"/>
        </w:rPr>
        <w:t>Table 1. Mean Absolute Percentage Error (MAPE) of model-based national prevalence against MHLW survey targets, with bootstrap 95% confidence intervals (B = 10,000 cell-stratified). Primary outcome: power harassment.</w:t>
      </w:r>
    </w:p>
    <w:tbl>
      <w:tblPr>
        <w:tblW w:type="auto" w:w="0"/>
        <w:tblLook w:firstColumn="1" w:firstRow="1" w:lastColumn="0" w:lastRow="0" w:noHBand="0" w:noVBand="1" w:val="04A0"/>
      </w:tblPr>
      <w:tblGrid>
        <w:gridCol w:w="1673"/>
        <w:gridCol w:w="1673"/>
        <w:gridCol w:w="1673"/>
        <w:gridCol w:w="1673"/>
        <w:gridCol w:w="1673"/>
        <w:gridCol w:w="1673"/>
      </w:tblGrid>
      <w:tr>
        <w:tc>
          <w:tcPr>
            <w:tcW w:type="dxa" w:w="1673"/>
          </w:tcPr>
          <w:p>
            <w:r>
              <w:rPr>
                <w:rFonts w:ascii="Times New Roman" w:hAnsi="Times New Roman" w:eastAsia="Times New Roman"/>
                <w:b/>
                <w:sz w:val="16"/>
              </w:rPr>
              <w:t>Period (MHLW)</w:t>
            </w:r>
          </w:p>
        </w:tc>
        <w:tc>
          <w:tcPr>
            <w:tcW w:type="dxa" w:w="1673"/>
          </w:tcPr>
          <w:p>
            <w:r>
              <w:rPr>
                <w:rFonts w:ascii="Times New Roman" w:hAnsi="Times New Roman" w:eastAsia="Times New Roman"/>
                <w:b/>
                <w:sz w:val="16"/>
              </w:rPr>
              <w:t>Observed</w:t>
            </w:r>
          </w:p>
        </w:tc>
        <w:tc>
          <w:tcPr>
            <w:tcW w:type="dxa" w:w="1673"/>
          </w:tcPr>
          <w:p>
            <w:r>
              <w:rPr>
                <w:rFonts w:ascii="Times New Roman" w:hAnsi="Times New Roman" w:eastAsia="Times New Roman"/>
                <w:b/>
                <w:sz w:val="16"/>
              </w:rPr>
              <w:t>Predicted</w:t>
            </w:r>
          </w:p>
        </w:tc>
        <w:tc>
          <w:tcPr>
            <w:tcW w:type="dxa" w:w="1673"/>
          </w:tcPr>
          <w:p>
            <w:r>
              <w:rPr>
                <w:rFonts w:ascii="Times New Roman" w:hAnsi="Times New Roman" w:eastAsia="Times New Roman"/>
                <w:b/>
                <w:sz w:val="16"/>
              </w:rPr>
              <w:t>MAPE</w:t>
            </w:r>
          </w:p>
        </w:tc>
        <w:tc>
          <w:tcPr>
            <w:tcW w:type="dxa" w:w="1673"/>
          </w:tcPr>
          <w:p>
            <w:r>
              <w:rPr>
                <w:rFonts w:ascii="Times New Roman" w:hAnsi="Times New Roman" w:eastAsia="Times New Roman"/>
                <w:b/>
                <w:sz w:val="16"/>
              </w:rPr>
              <w:t>95% CI</w:t>
            </w:r>
          </w:p>
        </w:tc>
        <w:tc>
          <w:tcPr>
            <w:tcW w:type="dxa" w:w="1673"/>
          </w:tcPr>
          <w:p>
            <w:r>
              <w:rPr>
                <w:rFonts w:ascii="Times New Roman" w:hAnsi="Times New Roman" w:eastAsia="Times New Roman"/>
                <w:b/>
                <w:sz w:val="16"/>
              </w:rPr>
              <w:t>Tier</w:t>
            </w:r>
          </w:p>
        </w:tc>
      </w:tr>
      <w:tr>
        <w:tc>
          <w:tcPr>
            <w:tcW w:type="dxa" w:w="1673"/>
          </w:tcPr>
          <w:p>
            <w:r>
              <w:rPr>
                <w:rFonts w:ascii="Times New Roman" w:hAnsi="Times New Roman" w:eastAsia="Times New Roman"/>
                <w:sz w:val="16"/>
              </w:rPr>
              <w:t>FY2016 (32.5%, primary)</w:t>
            </w:r>
          </w:p>
        </w:tc>
        <w:tc>
          <w:tcPr>
            <w:tcW w:type="dxa" w:w="1673"/>
          </w:tcPr>
          <w:p>
            <w:r>
              <w:rPr>
                <w:rFonts w:ascii="Times New Roman" w:hAnsi="Times New Roman" w:eastAsia="Times New Roman"/>
                <w:sz w:val="16"/>
              </w:rPr>
              <w:t>0.325</w:t>
            </w:r>
          </w:p>
        </w:tc>
        <w:tc>
          <w:tcPr>
            <w:tcW w:type="dxa" w:w="1673"/>
          </w:tcPr>
          <w:p>
            <w:r>
              <w:rPr>
                <w:rFonts w:ascii="Times New Roman" w:hAnsi="Times New Roman" w:eastAsia="Times New Roman"/>
                <w:sz w:val="16"/>
              </w:rPr>
              <w:t>0.1744</w:t>
            </w:r>
          </w:p>
        </w:tc>
        <w:tc>
          <w:tcPr>
            <w:tcW w:type="dxa" w:w="1673"/>
          </w:tcPr>
          <w:p>
            <w:r>
              <w:rPr>
                <w:rFonts w:ascii="Times New Roman" w:hAnsi="Times New Roman" w:eastAsia="Times New Roman"/>
                <w:sz w:val="16"/>
              </w:rPr>
              <w:t>46.34%</w:t>
            </w:r>
          </w:p>
        </w:tc>
        <w:tc>
          <w:tcPr>
            <w:tcW w:type="dxa" w:w="1673"/>
          </w:tcPr>
          <w:p>
            <w:r>
              <w:rPr>
                <w:rFonts w:ascii="Times New Roman" w:hAnsi="Times New Roman" w:eastAsia="Times New Roman"/>
                <w:sz w:val="16"/>
              </w:rPr>
              <w:t>[32.36, 59.30]</w:t>
            </w:r>
          </w:p>
        </w:tc>
        <w:tc>
          <w:tcPr>
            <w:tcW w:type="dxa" w:w="1673"/>
          </w:tcPr>
          <w:p>
            <w:r>
              <w:rPr>
                <w:rFonts w:ascii="Times New Roman" w:hAnsi="Times New Roman" w:eastAsia="Times New Roman"/>
                <w:sz w:val="16"/>
              </w:rPr>
              <w:t>PARTIAL SUCCESS</w:t>
            </w:r>
          </w:p>
        </w:tc>
      </w:tr>
      <w:tr>
        <w:tc>
          <w:tcPr>
            <w:tcW w:type="dxa" w:w="1673"/>
          </w:tcPr>
          <w:p>
            <w:r>
              <w:rPr>
                <w:rFonts w:ascii="Times New Roman" w:hAnsi="Times New Roman" w:eastAsia="Times New Roman"/>
                <w:sz w:val="16"/>
              </w:rPr>
              <w:t>FY2020 (31.4%, secondary)</w:t>
            </w:r>
          </w:p>
        </w:tc>
        <w:tc>
          <w:tcPr>
            <w:tcW w:type="dxa" w:w="1673"/>
          </w:tcPr>
          <w:p>
            <w:r>
              <w:rPr>
                <w:rFonts w:ascii="Times New Roman" w:hAnsi="Times New Roman" w:eastAsia="Times New Roman"/>
                <w:sz w:val="16"/>
              </w:rPr>
              <w:t>0.314</w:t>
            </w:r>
          </w:p>
        </w:tc>
        <w:tc>
          <w:tcPr>
            <w:tcW w:type="dxa" w:w="1673"/>
          </w:tcPr>
          <w:p>
            <w:r>
              <w:rPr>
                <w:rFonts w:ascii="Times New Roman" w:hAnsi="Times New Roman" w:eastAsia="Times New Roman"/>
                <w:sz w:val="16"/>
              </w:rPr>
              <w:t>0.1744</w:t>
            </w:r>
          </w:p>
        </w:tc>
        <w:tc>
          <w:tcPr>
            <w:tcW w:type="dxa" w:w="1673"/>
          </w:tcPr>
          <w:p>
            <w:r>
              <w:rPr>
                <w:rFonts w:ascii="Times New Roman" w:hAnsi="Times New Roman" w:eastAsia="Times New Roman"/>
                <w:sz w:val="16"/>
              </w:rPr>
              <w:t>44.46%</w:t>
            </w:r>
          </w:p>
        </w:tc>
        <w:tc>
          <w:tcPr>
            <w:tcW w:type="dxa" w:w="1673"/>
          </w:tcPr>
          <w:p>
            <w:r>
              <w:rPr>
                <w:rFonts w:ascii="Times New Roman" w:hAnsi="Times New Roman" w:eastAsia="Times New Roman"/>
                <w:sz w:val="16"/>
              </w:rPr>
              <w:t>[30.00, 57.88]</w:t>
            </w:r>
          </w:p>
        </w:tc>
        <w:tc>
          <w:tcPr>
            <w:tcW w:type="dxa" w:w="1673"/>
          </w:tcPr>
          <w:p>
            <w:r>
              <w:rPr>
                <w:rFonts w:ascii="Times New Roman" w:hAnsi="Times New Roman" w:eastAsia="Times New Roman"/>
                <w:sz w:val="16"/>
              </w:rPr>
              <w:t>PARTIAL SUCCESS</w:t>
            </w:r>
          </w:p>
        </w:tc>
      </w:tr>
      <w:tr>
        <w:tc>
          <w:tcPr>
            <w:tcW w:type="dxa" w:w="1673"/>
          </w:tcPr>
          <w:p>
            <w:r>
              <w:rPr>
                <w:rFonts w:ascii="Times New Roman" w:hAnsi="Times New Roman" w:eastAsia="Times New Roman"/>
                <w:sz w:val="16"/>
              </w:rPr>
              <w:t>FY2023 (19.3%, secondary)</w:t>
            </w:r>
          </w:p>
        </w:tc>
        <w:tc>
          <w:tcPr>
            <w:tcW w:type="dxa" w:w="1673"/>
          </w:tcPr>
          <w:p>
            <w:r>
              <w:rPr>
                <w:rFonts w:ascii="Times New Roman" w:hAnsi="Times New Roman" w:eastAsia="Times New Roman"/>
                <w:sz w:val="16"/>
              </w:rPr>
              <w:t>0.193</w:t>
            </w:r>
          </w:p>
        </w:tc>
        <w:tc>
          <w:tcPr>
            <w:tcW w:type="dxa" w:w="1673"/>
          </w:tcPr>
          <w:p>
            <w:r>
              <w:rPr>
                <w:rFonts w:ascii="Times New Roman" w:hAnsi="Times New Roman" w:eastAsia="Times New Roman"/>
                <w:sz w:val="16"/>
              </w:rPr>
              <w:t>0.1744</w:t>
            </w:r>
          </w:p>
        </w:tc>
        <w:tc>
          <w:tcPr>
            <w:tcW w:type="dxa" w:w="1673"/>
          </w:tcPr>
          <w:p>
            <w:r>
              <w:rPr>
                <w:rFonts w:ascii="Times New Roman" w:hAnsi="Times New Roman" w:eastAsia="Times New Roman"/>
                <w:sz w:val="16"/>
              </w:rPr>
              <w:t>9.65%</w:t>
            </w:r>
          </w:p>
        </w:tc>
        <w:tc>
          <w:tcPr>
            <w:tcW w:type="dxa" w:w="1673"/>
          </w:tcPr>
          <w:p>
            <w:r>
              <w:rPr>
                <w:rFonts w:ascii="Times New Roman" w:hAnsi="Times New Roman" w:eastAsia="Times New Roman"/>
                <w:sz w:val="16"/>
              </w:rPr>
              <w:t>[0.52, 31.52]</w:t>
            </w:r>
          </w:p>
        </w:tc>
        <w:tc>
          <w:tcPr>
            <w:tcW w:type="dxa" w:w="1673"/>
          </w:tcPr>
          <w:p>
            <w:r>
              <w:rPr>
                <w:rFonts w:ascii="Times New Roman" w:hAnsi="Times New Roman" w:eastAsia="Times New Roman"/>
                <w:sz w:val="16"/>
              </w:rPr>
              <w:t>Standard SUCCESS</w:t>
            </w:r>
          </w:p>
        </w:tc>
      </w:tr>
    </w:tbl>
    <w:p>
      <w:pPr>
        <w:spacing w:line="240" w:lineRule="auto" w:before="0" w:after="0"/>
        <w:ind w:firstLine="180"/>
        <w:jc w:val="both"/>
      </w:pPr>
      <w:r>
        <w:rPr>
          <w:rFonts w:ascii="Times New Roman" w:hAnsi="Times New Roman" w:eastAsia="Times New Roman"/>
          <w:sz w:val="20"/>
        </w:rPr>
        <w:t>The FY2016 primary classification is PARTIAL SUCCESS (point MAPE &gt; 30%, ≤ 60%). However, the post-Power-Harassment-Prevention-Law FY2023 result attains Standard SUCCESS with a point MAPE of 9.65% (well below the 30% threshold for both Strict and Standard tiers); the 95% CI upper bound of 31.52% narrowly exceeds the Strict criterion (≤ 30%) by 1.52 pp, placing the classification at Standard rather than Strict. Interpretation of this temporal heterogeneity is deferred to the Discussion (Principal findings).</w:t>
      </w:r>
    </w:p>
    <w:p>
      <w:pPr>
        <w:spacing w:line="240" w:lineRule="auto" w:before="80" w:after="40"/>
      </w:pPr>
      <w:r>
        <w:rPr>
          <w:rFonts w:ascii="Times New Roman" w:hAnsi="Times New Roman" w:eastAsia="Times New Roman"/>
          <w:b/>
          <w:sz w:val="20"/>
        </w:rPr>
        <w:t>C. Sensitivity sweep (Stage 3)</w:t>
      </w:r>
    </w:p>
    <w:p>
      <w:pPr>
        <w:spacing w:line="240" w:lineRule="auto" w:before="0" w:after="0"/>
        <w:ind w:firstLine="180"/>
        <w:jc w:val="both"/>
      </w:pPr>
      <w:r>
        <w:rPr>
          <w:rFonts w:ascii="Times New Roman" w:hAnsi="Times New Roman" w:eastAsia="Times New Roman"/>
          <w:sz w:val="20"/>
        </w:rPr>
        <w:t>The pre-registered one-at-a-time sweep over four parameter families produced 13 rows. Results are presented in Table 2.</w:t>
      </w:r>
    </w:p>
    <w:p>
      <w:pPr>
        <w:spacing w:line="240" w:lineRule="auto" w:before="0" w:after="0"/>
        <w:ind w:firstLine="180"/>
        <w:jc w:val="both"/>
      </w:pPr>
      <w:r>
        <w:rPr>
          <w:rFonts w:ascii="Times New Roman" w:hAnsi="Times New Roman" w:eastAsia="Times New Roman"/>
          <w:sz w:val="20"/>
        </w:rPr>
        <w:t>Table 2. OAT sensitivity sweep around main configuration. B = 2,000 per row, percentile CI on FY2016 MAPE. The baseline row uses the locked v2.0 main configuration; all other rows hold remaining parameters at main while varying the indicated family.</w:t>
      </w:r>
    </w:p>
    <w:tbl>
      <w:tblPr>
        <w:tblW w:type="auto" w:w="0"/>
        <w:tblLook w:firstColumn="1" w:firstRow="1" w:lastColumn="0" w:lastRow="0" w:noHBand="0" w:noVBand="1" w:val="04A0"/>
      </w:tblPr>
      <w:tblGrid>
        <w:gridCol w:w="2008"/>
        <w:gridCol w:w="2008"/>
        <w:gridCol w:w="2008"/>
        <w:gridCol w:w="2008"/>
        <w:gridCol w:w="2008"/>
      </w:tblGrid>
      <w:tr>
        <w:tc>
          <w:tcPr>
            <w:tcW w:type="dxa" w:w="2008"/>
          </w:tcPr>
          <w:p>
            <w:r>
              <w:rPr>
                <w:rFonts w:ascii="Times New Roman" w:hAnsi="Times New Roman" w:eastAsia="Times New Roman"/>
                <w:b/>
                <w:sz w:val="16"/>
              </w:rPr>
              <w:t>Family</w:t>
            </w:r>
          </w:p>
        </w:tc>
        <w:tc>
          <w:tcPr>
            <w:tcW w:type="dxa" w:w="2008"/>
          </w:tcPr>
          <w:p>
            <w:r>
              <w:rPr>
                <w:rFonts w:ascii="Times New Roman" w:hAnsi="Times New Roman" w:eastAsia="Times New Roman"/>
                <w:b/>
                <w:sz w:val="16"/>
              </w:rPr>
              <w:t>Value</w:t>
            </w:r>
          </w:p>
        </w:tc>
        <w:tc>
          <w:tcPr>
            <w:tcW w:type="dxa" w:w="2008"/>
          </w:tcPr>
          <w:p>
            <w:r>
              <w:rPr>
                <w:rFonts w:ascii="Times New Roman" w:hAnsi="Times New Roman" w:eastAsia="Times New Roman"/>
                <w:b/>
                <w:sz w:val="16"/>
              </w:rPr>
              <w:t>MAPE</w:t>
            </w:r>
          </w:p>
        </w:tc>
        <w:tc>
          <w:tcPr>
            <w:tcW w:type="dxa" w:w="2008"/>
          </w:tcPr>
          <w:p>
            <w:r>
              <w:rPr>
                <w:rFonts w:ascii="Times New Roman" w:hAnsi="Times New Roman" w:eastAsia="Times New Roman"/>
                <w:b/>
                <w:sz w:val="16"/>
              </w:rPr>
              <w:t>95% CI</w:t>
            </w:r>
          </w:p>
        </w:tc>
        <w:tc>
          <w:tcPr>
            <w:tcW w:type="dxa" w:w="2008"/>
          </w:tcPr>
          <w:p>
            <w:r>
              <w:rPr>
                <w:rFonts w:ascii="Times New Roman" w:hAnsi="Times New Roman" w:eastAsia="Times New Roman"/>
                <w:b/>
                <w:sz w:val="16"/>
              </w:rPr>
              <w:t>Tier</w:t>
            </w:r>
          </w:p>
        </w:tc>
      </w:tr>
      <w:tr>
        <w:tc>
          <w:tcPr>
            <w:tcW w:type="dxa" w:w="2008"/>
          </w:tcPr>
          <w:p>
            <w:r>
              <w:rPr>
                <w:rFonts w:ascii="Times New Roman" w:hAnsi="Times New Roman" w:eastAsia="Times New Roman"/>
                <w:sz w:val="16"/>
              </w:rPr>
              <w:t>Baseline</w:t>
            </w:r>
          </w:p>
        </w:tc>
        <w:tc>
          <w:tcPr>
            <w:tcW w:type="dxa" w:w="2008"/>
          </w:tcPr>
          <w:p>
            <w:r>
              <w:rPr>
                <w:rFonts w:ascii="Times New Roman" w:hAnsi="Times New Roman" w:eastAsia="Times New Roman"/>
                <w:sz w:val="16"/>
              </w:rPr>
              <w:t>main_v2.0</w:t>
            </w:r>
          </w:p>
        </w:tc>
        <w:tc>
          <w:tcPr>
            <w:tcW w:type="dxa" w:w="2008"/>
          </w:tcPr>
          <w:p>
            <w:r>
              <w:rPr>
                <w:rFonts w:ascii="Times New Roman" w:hAnsi="Times New Roman" w:eastAsia="Times New Roman"/>
                <w:sz w:val="16"/>
              </w:rPr>
              <w:t>45.51%</w:t>
            </w:r>
          </w:p>
        </w:tc>
        <w:tc>
          <w:tcPr>
            <w:tcW w:type="dxa" w:w="2008"/>
          </w:tcPr>
          <w:p>
            <w:r>
              <w:rPr>
                <w:rFonts w:ascii="Times New Roman" w:hAnsi="Times New Roman" w:eastAsia="Times New Roman"/>
                <w:sz w:val="16"/>
              </w:rPr>
              <w:t>[31.5, 59.5]</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Binarization</w:t>
            </w:r>
          </w:p>
        </w:tc>
        <w:tc>
          <w:tcPr>
            <w:tcW w:type="dxa" w:w="2008"/>
          </w:tcPr>
          <w:p>
            <w:r>
              <w:rPr>
                <w:rFonts w:ascii="Times New Roman" w:hAnsi="Times New Roman" w:eastAsia="Times New Roman"/>
                <w:sz w:val="16"/>
              </w:rPr>
              <w:t>mean+0.25 SD</w:t>
            </w:r>
          </w:p>
        </w:tc>
        <w:tc>
          <w:tcPr>
            <w:tcW w:type="dxa" w:w="2008"/>
          </w:tcPr>
          <w:p>
            <w:r>
              <w:rPr>
                <w:rFonts w:ascii="Times New Roman" w:hAnsi="Times New Roman" w:eastAsia="Times New Roman"/>
                <w:sz w:val="16"/>
              </w:rPr>
              <w:t>29.58%</w:t>
            </w:r>
          </w:p>
        </w:tc>
        <w:tc>
          <w:tcPr>
            <w:tcW w:type="dxa" w:w="2008"/>
          </w:tcPr>
          <w:p>
            <w:r>
              <w:rPr>
                <w:rFonts w:ascii="Times New Roman" w:hAnsi="Times New Roman" w:eastAsia="Times New Roman"/>
                <w:sz w:val="16"/>
              </w:rPr>
              <w:t>[13.7, 45.2]</w:t>
            </w:r>
          </w:p>
        </w:tc>
        <w:tc>
          <w:tcPr>
            <w:tcW w:type="dxa" w:w="2008"/>
          </w:tcPr>
          <w:p>
            <w:r>
              <w:rPr>
                <w:rFonts w:ascii="Times New Roman" w:hAnsi="Times New Roman" w:eastAsia="Times New Roman"/>
                <w:sz w:val="16"/>
              </w:rPr>
              <w:t>Standard SUCCESS</w:t>
            </w:r>
          </w:p>
        </w:tc>
      </w:tr>
      <w:tr>
        <w:tc>
          <w:tcPr>
            <w:tcW w:type="dxa" w:w="2008"/>
          </w:tcPr>
          <w:p>
            <w:r>
              <w:rPr>
                <w:rFonts w:ascii="Times New Roman" w:hAnsi="Times New Roman" w:eastAsia="Times New Roman"/>
                <w:sz w:val="16"/>
              </w:rPr>
              <w:t>Binarization</w:t>
            </w:r>
          </w:p>
        </w:tc>
        <w:tc>
          <w:tcPr>
            <w:tcW w:type="dxa" w:w="2008"/>
          </w:tcPr>
          <w:p>
            <w:r>
              <w:rPr>
                <w:rFonts w:ascii="Times New Roman" w:hAnsi="Times New Roman" w:eastAsia="Times New Roman"/>
                <w:sz w:val="16"/>
              </w:rPr>
              <w:t>mean+0.5 SD (main)</w:t>
            </w:r>
          </w:p>
        </w:tc>
        <w:tc>
          <w:tcPr>
            <w:tcW w:type="dxa" w:w="2008"/>
          </w:tcPr>
          <w:p>
            <w:r>
              <w:rPr>
                <w:rFonts w:ascii="Times New Roman" w:hAnsi="Times New Roman" w:eastAsia="Times New Roman"/>
                <w:sz w:val="16"/>
              </w:rPr>
              <w:t>45.51%</w:t>
            </w:r>
          </w:p>
        </w:tc>
        <w:tc>
          <w:tcPr>
            <w:tcW w:type="dxa" w:w="2008"/>
          </w:tcPr>
          <w:p>
            <w:r>
              <w:rPr>
                <w:rFonts w:ascii="Times New Roman" w:hAnsi="Times New Roman" w:eastAsia="Times New Roman"/>
                <w:sz w:val="16"/>
              </w:rPr>
              <w:t>[30.5, 59.2]</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Binarization</w:t>
            </w:r>
          </w:p>
        </w:tc>
        <w:tc>
          <w:tcPr>
            <w:tcW w:type="dxa" w:w="2008"/>
          </w:tcPr>
          <w:p>
            <w:r>
              <w:rPr>
                <w:rFonts w:ascii="Times New Roman" w:hAnsi="Times New Roman" w:eastAsia="Times New Roman"/>
                <w:sz w:val="16"/>
              </w:rPr>
              <w:t>mean+1.0 SD</w:t>
            </w:r>
          </w:p>
        </w:tc>
        <w:tc>
          <w:tcPr>
            <w:tcW w:type="dxa" w:w="2008"/>
          </w:tcPr>
          <w:p>
            <w:r>
              <w:rPr>
                <w:rFonts w:ascii="Times New Roman" w:hAnsi="Times New Roman" w:eastAsia="Times New Roman"/>
                <w:sz w:val="16"/>
              </w:rPr>
              <w:t>48.95%</w:t>
            </w:r>
          </w:p>
        </w:tc>
        <w:tc>
          <w:tcPr>
            <w:tcW w:type="dxa" w:w="2008"/>
          </w:tcPr>
          <w:p>
            <w:r>
              <w:rPr>
                <w:rFonts w:ascii="Times New Roman" w:hAnsi="Times New Roman" w:eastAsia="Times New Roman"/>
                <w:sz w:val="16"/>
              </w:rPr>
              <w:t>[34.0, 62.4]</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Soft τ × median NN</w:t>
            </w:r>
          </w:p>
        </w:tc>
        <w:tc>
          <w:tcPr>
            <w:tcW w:type="dxa" w:w="2008"/>
          </w:tcPr>
          <w:p>
            <w:r>
              <w:rPr>
                <w:rFonts w:ascii="Times New Roman" w:hAnsi="Times New Roman" w:eastAsia="Times New Roman"/>
                <w:sz w:val="16"/>
              </w:rPr>
              <w:t>0.5×</w:t>
            </w:r>
          </w:p>
        </w:tc>
        <w:tc>
          <w:tcPr>
            <w:tcW w:type="dxa" w:w="2008"/>
          </w:tcPr>
          <w:p>
            <w:r>
              <w:rPr>
                <w:rFonts w:ascii="Times New Roman" w:hAnsi="Times New Roman" w:eastAsia="Times New Roman"/>
                <w:sz w:val="16"/>
              </w:rPr>
              <w:t>45.04%</w:t>
            </w:r>
          </w:p>
        </w:tc>
        <w:tc>
          <w:tcPr>
            <w:tcW w:type="dxa" w:w="2008"/>
          </w:tcPr>
          <w:p>
            <w:r>
              <w:rPr>
                <w:rFonts w:ascii="Times New Roman" w:hAnsi="Times New Roman" w:eastAsia="Times New Roman"/>
                <w:sz w:val="16"/>
              </w:rPr>
              <w:t>[43.8, 46.3]</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Soft τ × median NN</w:t>
            </w:r>
          </w:p>
        </w:tc>
        <w:tc>
          <w:tcPr>
            <w:tcW w:type="dxa" w:w="2008"/>
          </w:tcPr>
          <w:p>
            <w:r>
              <w:rPr>
                <w:rFonts w:ascii="Times New Roman" w:hAnsi="Times New Roman" w:eastAsia="Times New Roman"/>
                <w:sz w:val="16"/>
              </w:rPr>
              <w:t>1.0×</w:t>
            </w:r>
          </w:p>
        </w:tc>
        <w:tc>
          <w:tcPr>
            <w:tcW w:type="dxa" w:w="2008"/>
          </w:tcPr>
          <w:p>
            <w:r>
              <w:rPr>
                <w:rFonts w:ascii="Times New Roman" w:hAnsi="Times New Roman" w:eastAsia="Times New Roman"/>
                <w:sz w:val="16"/>
              </w:rPr>
              <w:t>45.22%</w:t>
            </w:r>
          </w:p>
        </w:tc>
        <w:tc>
          <w:tcPr>
            <w:tcW w:type="dxa" w:w="2008"/>
          </w:tcPr>
          <w:p>
            <w:r>
              <w:rPr>
                <w:rFonts w:ascii="Times New Roman" w:hAnsi="Times New Roman" w:eastAsia="Times New Roman"/>
                <w:sz w:val="16"/>
              </w:rPr>
              <w:t>[43.9, 46.5]</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Soft τ × median NN</w:t>
            </w:r>
          </w:p>
        </w:tc>
        <w:tc>
          <w:tcPr>
            <w:tcW w:type="dxa" w:w="2008"/>
          </w:tcPr>
          <w:p>
            <w:r>
              <w:rPr>
                <w:rFonts w:ascii="Times New Roman" w:hAnsi="Times New Roman" w:eastAsia="Times New Roman"/>
                <w:sz w:val="16"/>
              </w:rPr>
              <w:t>2.0×</w:t>
            </w:r>
          </w:p>
        </w:tc>
        <w:tc>
          <w:tcPr>
            <w:tcW w:type="dxa" w:w="2008"/>
          </w:tcPr>
          <w:p>
            <w:r>
              <w:rPr>
                <w:rFonts w:ascii="Times New Roman" w:hAnsi="Times New Roman" w:eastAsia="Times New Roman"/>
                <w:sz w:val="16"/>
              </w:rPr>
              <w:t>45.24%</w:t>
            </w:r>
          </w:p>
        </w:tc>
        <w:tc>
          <w:tcPr>
            <w:tcW w:type="dxa" w:w="2008"/>
          </w:tcPr>
          <w:p>
            <w:r>
              <w:rPr>
                <w:rFonts w:ascii="Times New Roman" w:hAnsi="Times New Roman" w:eastAsia="Times New Roman"/>
                <w:sz w:val="16"/>
              </w:rPr>
              <w:t>[43.9, 46.4]</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EB scale</w:t>
            </w:r>
          </w:p>
        </w:tc>
        <w:tc>
          <w:tcPr>
            <w:tcW w:type="dxa" w:w="2008"/>
          </w:tcPr>
          <w:p>
            <w:r>
              <w:rPr>
                <w:rFonts w:ascii="Times New Roman" w:hAnsi="Times New Roman" w:eastAsia="Times New Roman"/>
                <w:sz w:val="16"/>
              </w:rPr>
              <w:t>0.5× pseudocount</w:t>
            </w:r>
          </w:p>
        </w:tc>
        <w:tc>
          <w:tcPr>
            <w:tcW w:type="dxa" w:w="2008"/>
          </w:tcPr>
          <w:p>
            <w:r>
              <w:rPr>
                <w:rFonts w:ascii="Times New Roman" w:hAnsi="Times New Roman" w:eastAsia="Times New Roman"/>
                <w:sz w:val="16"/>
              </w:rPr>
              <w:t>45.90%</w:t>
            </w:r>
          </w:p>
        </w:tc>
        <w:tc>
          <w:tcPr>
            <w:tcW w:type="dxa" w:w="2008"/>
          </w:tcPr>
          <w:p>
            <w:r>
              <w:rPr>
                <w:rFonts w:ascii="Times New Roman" w:hAnsi="Times New Roman" w:eastAsia="Times New Roman"/>
                <w:sz w:val="16"/>
              </w:rPr>
              <w:t>[32.1, 58.7]</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EB scale</w:t>
            </w:r>
          </w:p>
        </w:tc>
        <w:tc>
          <w:tcPr>
            <w:tcW w:type="dxa" w:w="2008"/>
          </w:tcPr>
          <w:p>
            <w:r>
              <w:rPr>
                <w:rFonts w:ascii="Times New Roman" w:hAnsi="Times New Roman" w:eastAsia="Times New Roman"/>
                <w:sz w:val="16"/>
              </w:rPr>
              <w:t>1.0× (main)</w:t>
            </w:r>
          </w:p>
        </w:tc>
        <w:tc>
          <w:tcPr>
            <w:tcW w:type="dxa" w:w="2008"/>
          </w:tcPr>
          <w:p>
            <w:r>
              <w:rPr>
                <w:rFonts w:ascii="Times New Roman" w:hAnsi="Times New Roman" w:eastAsia="Times New Roman"/>
                <w:sz w:val="16"/>
              </w:rPr>
              <w:t>45.51%</w:t>
            </w:r>
          </w:p>
        </w:tc>
        <w:tc>
          <w:tcPr>
            <w:tcW w:type="dxa" w:w="2008"/>
          </w:tcPr>
          <w:p>
            <w:r>
              <w:rPr>
                <w:rFonts w:ascii="Times New Roman" w:hAnsi="Times New Roman" w:eastAsia="Times New Roman"/>
                <w:sz w:val="16"/>
              </w:rPr>
              <w:t>[31.4, 59.0]</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EB scale</w:t>
            </w:r>
          </w:p>
        </w:tc>
        <w:tc>
          <w:tcPr>
            <w:tcW w:type="dxa" w:w="2008"/>
          </w:tcPr>
          <w:p>
            <w:r>
              <w:rPr>
                <w:rFonts w:ascii="Times New Roman" w:hAnsi="Times New Roman" w:eastAsia="Times New Roman"/>
                <w:sz w:val="16"/>
              </w:rPr>
              <w:t>2.0× pseudocount</w:t>
            </w:r>
          </w:p>
        </w:tc>
        <w:tc>
          <w:tcPr>
            <w:tcW w:type="dxa" w:w="2008"/>
          </w:tcPr>
          <w:p>
            <w:r>
              <w:rPr>
                <w:rFonts w:ascii="Times New Roman" w:hAnsi="Times New Roman" w:eastAsia="Times New Roman"/>
                <w:sz w:val="16"/>
              </w:rPr>
              <w:t>45.80%</w:t>
            </w:r>
          </w:p>
        </w:tc>
        <w:tc>
          <w:tcPr>
            <w:tcW w:type="dxa" w:w="2008"/>
          </w:tcPr>
          <w:p>
            <w:r>
              <w:rPr>
                <w:rFonts w:ascii="Times New Roman" w:hAnsi="Times New Roman" w:eastAsia="Times New Roman"/>
                <w:sz w:val="16"/>
              </w:rPr>
              <w:t>[32.3, 58.9]</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Cluster mass shift δ</w:t>
            </w:r>
          </w:p>
        </w:tc>
        <w:tc>
          <w:tcPr>
            <w:tcW w:type="dxa" w:w="2008"/>
          </w:tcPr>
          <w:p>
            <w:r>
              <w:rPr>
                <w:rFonts w:ascii="Times New Roman" w:hAnsi="Times New Roman" w:eastAsia="Times New Roman"/>
                <w:sz w:val="16"/>
              </w:rPr>
              <w:t>−0.10 high−low</w:t>
            </w:r>
          </w:p>
        </w:tc>
        <w:tc>
          <w:tcPr>
            <w:tcW w:type="dxa" w:w="2008"/>
          </w:tcPr>
          <w:p>
            <w:r>
              <w:rPr>
                <w:rFonts w:ascii="Times New Roman" w:hAnsi="Times New Roman" w:eastAsia="Times New Roman"/>
                <w:sz w:val="16"/>
              </w:rPr>
              <w:t>56.47%</w:t>
            </w:r>
          </w:p>
        </w:tc>
        <w:tc>
          <w:tcPr>
            <w:tcW w:type="dxa" w:w="2008"/>
          </w:tcPr>
          <w:p>
            <w:r>
              <w:rPr>
                <w:rFonts w:ascii="Times New Roman" w:hAnsi="Times New Roman" w:eastAsia="Times New Roman"/>
                <w:sz w:val="16"/>
              </w:rPr>
              <w:t>[42.8, 68.8]</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Cluster mass shift δ</w:t>
            </w:r>
          </w:p>
        </w:tc>
        <w:tc>
          <w:tcPr>
            <w:tcW w:type="dxa" w:w="2008"/>
          </w:tcPr>
          <w:p>
            <w:r>
              <w:rPr>
                <w:rFonts w:ascii="Times New Roman" w:hAnsi="Times New Roman" w:eastAsia="Times New Roman"/>
                <w:sz w:val="16"/>
              </w:rPr>
              <w:t>0.0 (main)</w:t>
            </w:r>
          </w:p>
        </w:tc>
        <w:tc>
          <w:tcPr>
            <w:tcW w:type="dxa" w:w="2008"/>
          </w:tcPr>
          <w:p>
            <w:r>
              <w:rPr>
                <w:rFonts w:ascii="Times New Roman" w:hAnsi="Times New Roman" w:eastAsia="Times New Roman"/>
                <w:sz w:val="16"/>
              </w:rPr>
              <w:t>45.51%</w:t>
            </w:r>
          </w:p>
        </w:tc>
        <w:tc>
          <w:tcPr>
            <w:tcW w:type="dxa" w:w="2008"/>
          </w:tcPr>
          <w:p>
            <w:r>
              <w:rPr>
                <w:rFonts w:ascii="Times New Roman" w:hAnsi="Times New Roman" w:eastAsia="Times New Roman"/>
                <w:sz w:val="16"/>
              </w:rPr>
              <w:t>[31.4, 59.2]</w:t>
            </w:r>
          </w:p>
        </w:tc>
        <w:tc>
          <w:tcPr>
            <w:tcW w:type="dxa" w:w="2008"/>
          </w:tcPr>
          <w:p>
            <w:r>
              <w:rPr>
                <w:rFonts w:ascii="Times New Roman" w:hAnsi="Times New Roman" w:eastAsia="Times New Roman"/>
                <w:sz w:val="16"/>
              </w:rPr>
              <w:t>PARTIAL</w:t>
            </w:r>
          </w:p>
        </w:tc>
      </w:tr>
      <w:tr>
        <w:tc>
          <w:tcPr>
            <w:tcW w:type="dxa" w:w="2008"/>
          </w:tcPr>
          <w:p>
            <w:r>
              <w:rPr>
                <w:rFonts w:ascii="Times New Roman" w:hAnsi="Times New Roman" w:eastAsia="Times New Roman"/>
                <w:sz w:val="16"/>
              </w:rPr>
              <w:t>Cluster mass shift δ</w:t>
            </w:r>
          </w:p>
        </w:tc>
        <w:tc>
          <w:tcPr>
            <w:tcW w:type="dxa" w:w="2008"/>
          </w:tcPr>
          <w:p>
            <w:r>
              <w:rPr>
                <w:rFonts w:ascii="Times New Roman" w:hAnsi="Times New Roman" w:eastAsia="Times New Roman"/>
                <w:sz w:val="16"/>
              </w:rPr>
              <w:t>+0.10 high−low</w:t>
            </w:r>
          </w:p>
        </w:tc>
        <w:tc>
          <w:tcPr>
            <w:tcW w:type="dxa" w:w="2008"/>
          </w:tcPr>
          <w:p>
            <w:r>
              <w:rPr>
                <w:rFonts w:ascii="Times New Roman" w:hAnsi="Times New Roman" w:eastAsia="Times New Roman"/>
                <w:sz w:val="16"/>
              </w:rPr>
              <w:t>34.55%</w:t>
            </w:r>
          </w:p>
        </w:tc>
        <w:tc>
          <w:tcPr>
            <w:tcW w:type="dxa" w:w="2008"/>
          </w:tcPr>
          <w:p>
            <w:r>
              <w:rPr>
                <w:rFonts w:ascii="Times New Roman" w:hAnsi="Times New Roman" w:eastAsia="Times New Roman"/>
                <w:sz w:val="16"/>
              </w:rPr>
              <w:t>[16.6, 51.8]</w:t>
            </w:r>
          </w:p>
        </w:tc>
        <w:tc>
          <w:tcPr>
            <w:tcW w:type="dxa" w:w="2008"/>
          </w:tcPr>
          <w:p>
            <w:r>
              <w:rPr>
                <w:rFonts w:ascii="Times New Roman" w:hAnsi="Times New Roman" w:eastAsia="Times New Roman"/>
                <w:sz w:val="16"/>
              </w:rPr>
              <w:t>PARTIAL</w:t>
            </w:r>
          </w:p>
        </w:tc>
      </w:tr>
    </w:tbl>
    <w:p>
      <w:pPr>
        <w:spacing w:line="240" w:lineRule="auto" w:before="0" w:after="0"/>
        <w:ind w:firstLine="180"/>
        <w:jc w:val="both"/>
      </w:pPr>
      <w:r>
        <w:rPr>
          <w:rFonts w:ascii="Times New Roman" w:hAnsi="Times New Roman" w:eastAsia="Times New Roman"/>
          <w:sz w:val="20"/>
        </w:rPr>
        <w:t>Two parameter families show substantial sensitivity:</w:t>
      </w:r>
    </w:p>
    <w:p>
      <w:pPr>
        <w:pStyle w:val="ListBullet"/>
        <w:spacing w:line="240" w:lineRule="auto" w:before="0" w:after="0"/>
        <w:jc w:val="both"/>
      </w:pPr>
      <w:r>
        <w:rPr>
          <w:rFonts w:ascii="Times New Roman" w:hAnsi="Times New Roman" w:eastAsia="Times New Roman"/>
          <w:sz w:val="20"/>
        </w:rPr>
        <w:t>Binarization threshold (range: 29.58% to 48.95%): a more lenient threshold (+0.25 SD) yields Standard SUCCESS classification, suggesting that the MHLW survey may operationalize harassment more inclusively than the +0.5 SD main threshold;</w:t>
      </w:r>
    </w:p>
    <w:p>
      <w:pPr>
        <w:pStyle w:val="ListBullet"/>
        <w:spacing w:line="240" w:lineRule="auto" w:before="0" w:after="0"/>
        <w:jc w:val="both"/>
      </w:pPr>
      <w:r>
        <w:rPr>
          <w:rFonts w:ascii="Times New Roman" w:hAnsi="Times New Roman" w:eastAsia="Times New Roman"/>
          <w:sz w:val="20"/>
        </w:rPr>
        <w:t>Cluster proportion mass shift (range: 34.55% to 56.47%): underscores the centrality of the Tokiwa [13] cluster proportions to the conclusion (m8 limitation per pre-registration v2.0).</w:t>
      </w:r>
    </w:p>
    <w:p>
      <w:pPr>
        <w:spacing w:line="240" w:lineRule="auto" w:before="0" w:after="0"/>
        <w:ind w:firstLine="180"/>
        <w:jc w:val="both"/>
      </w:pPr>
      <w:r>
        <w:rPr>
          <w:rFonts w:ascii="Times New Roman" w:hAnsi="Times New Roman" w:eastAsia="Times New Roman"/>
          <w:sz w:val="20"/>
        </w:rPr>
        <w:t>Two parameter families show negligible sensitivity:</w:t>
      </w:r>
    </w:p>
    <w:p>
      <w:pPr>
        <w:pStyle w:val="ListBullet"/>
        <w:spacing w:line="240" w:lineRule="auto" w:before="0" w:after="0"/>
        <w:jc w:val="both"/>
      </w:pPr>
      <w:r>
        <w:rPr>
          <w:rFonts w:ascii="Times New Roman" w:hAnsi="Times New Roman" w:eastAsia="Times New Roman"/>
          <w:sz w:val="20"/>
        </w:rPr>
        <w:t>Soft-assignment τ (range: 45.04% to 45.24%; 0.20 percentage-point spread): cluster-membership-fuzziness is essentially irrelevant to the conclusion;</w:t>
      </w:r>
    </w:p>
    <w:p>
      <w:pPr>
        <w:pStyle w:val="ListBullet"/>
        <w:spacing w:line="240" w:lineRule="auto" w:before="0" w:after="0"/>
        <w:jc w:val="both"/>
      </w:pPr>
      <w:r>
        <w:rPr>
          <w:rFonts w:ascii="Times New Roman" w:hAnsi="Times New Roman" w:eastAsia="Times New Roman"/>
          <w:sz w:val="20"/>
        </w:rPr>
        <w:t>Empirical Bayes shrinkage scale (range: 45.51% to 45.90%; 0.40 percentage-point spread): the empirical Bayes prior-pseudocount magnitude is negligible.</w:t>
      </w:r>
    </w:p>
    <w:p>
      <w:pPr>
        <w:spacing w:line="240" w:lineRule="auto" w:before="0" w:after="0"/>
        <w:ind w:firstLine="180"/>
        <w:jc w:val="both"/>
      </w:pPr>
      <w:r>
        <w:rPr>
          <w:rFonts w:ascii="Times New Roman" w:hAnsi="Times New Roman" w:eastAsia="Times New Roman"/>
          <w:sz w:val="20"/>
        </w:rPr>
        <w:t>The two stable axes provide affirmative robustness evidence; the two sensitive axes circumscribe the assumptions on which the conclusion explicitly depends.</w:t>
      </w:r>
    </w:p>
    <w:p>
      <w:pPr>
        <w:spacing w:line="240" w:lineRule="auto" w:before="80" w:after="40"/>
      </w:pPr>
      <w:r>
        <w:rPr>
          <w:rFonts w:ascii="Times New Roman" w:hAnsi="Times New Roman" w:eastAsia="Times New Roman"/>
          <w:b/>
          <w:sz w:val="20"/>
        </w:rPr>
        <w:t>D. Baseline comparison and H2 ordinal trend (Stage 4)</w:t>
      </w:r>
    </w:p>
    <w:p>
      <w:pPr>
        <w:spacing w:line="240" w:lineRule="auto" w:before="0" w:after="0"/>
        <w:ind w:firstLine="180"/>
        <w:jc w:val="both"/>
      </w:pPr>
      <w:r>
        <w:rPr>
          <w:rFonts w:ascii="Times New Roman" w:hAnsi="Times New Roman" w:eastAsia="Times New Roman"/>
          <w:sz w:val="20"/>
        </w:rPr>
        <w:t>The pre-registered B0–B4 baseline ladder yielded the following MAPE_FY2016 estimates (Table 3).</w:t>
      </w:r>
    </w:p>
    <w:p>
      <w:pPr>
        <w:spacing w:line="240" w:lineRule="auto" w:before="0" w:after="0"/>
        <w:ind w:firstLine="180"/>
        <w:jc w:val="both"/>
      </w:pPr>
      <w:r>
        <w:rPr>
          <w:rFonts w:ascii="Times New Roman" w:hAnsi="Times New Roman" w:eastAsia="Times New Roman"/>
          <w:sz w:val="20"/>
        </w:rPr>
        <w:t>Table 3. Baseline comparison for H2. B = 2,000 cell-stratified bootstrap. Note that B0 (uniform-MHLW-grand-mean prediction) trivially attains MAPE = 0 by construction and is included only as the lower-bound reference. Baselines B0, B1, and B3 are deterministic functions of the realized cell counts under the cell-stratified bootstrap (their aggregation rules are closed-form given the cell partitions) and therefore yield zero-width bootstrap CIs by construction; B2 and B4 re-fit logistic-regression coefficients within each bootstrap replicate and accordingly show non-degenerate CIs.</w:t>
      </w:r>
    </w:p>
    <w:tbl>
      <w:tblPr>
        <w:tblW w:type="auto" w:w="0"/>
        <w:tblLook w:firstColumn="1" w:firstRow="1" w:lastColumn="0" w:lastRow="0" w:noHBand="0" w:noVBand="1" w:val="04A0"/>
      </w:tblPr>
      <w:tblGrid>
        <w:gridCol w:w="2510"/>
        <w:gridCol w:w="2510"/>
        <w:gridCol w:w="2510"/>
        <w:gridCol w:w="2510"/>
      </w:tblGrid>
      <w:tr>
        <w:tc>
          <w:tcPr>
            <w:tcW w:type="dxa" w:w="2510"/>
          </w:tcPr>
          <w:p>
            <w:r>
              <w:rPr>
                <w:rFonts w:ascii="Times New Roman" w:hAnsi="Times New Roman" w:eastAsia="Times New Roman"/>
                <w:b/>
                <w:sz w:val="16"/>
              </w:rPr>
              <w:t>Baseline</w:t>
            </w:r>
          </w:p>
        </w:tc>
        <w:tc>
          <w:tcPr>
            <w:tcW w:type="dxa" w:w="2510"/>
          </w:tcPr>
          <w:p>
            <w:r>
              <w:rPr>
                <w:rFonts w:ascii="Times New Roman" w:hAnsi="Times New Roman" w:eastAsia="Times New Roman"/>
                <w:b/>
                <w:sz w:val="16"/>
              </w:rPr>
              <w:t>Description</w:t>
            </w:r>
          </w:p>
        </w:tc>
        <w:tc>
          <w:tcPr>
            <w:tcW w:type="dxa" w:w="2510"/>
          </w:tcPr>
          <w:p>
            <w:r>
              <w:rPr>
                <w:rFonts w:ascii="Times New Roman" w:hAnsi="Times New Roman" w:eastAsia="Times New Roman"/>
                <w:b/>
                <w:sz w:val="16"/>
              </w:rPr>
              <w:t>MAPE</w:t>
            </w:r>
          </w:p>
        </w:tc>
        <w:tc>
          <w:tcPr>
            <w:tcW w:type="dxa" w:w="2510"/>
          </w:tcPr>
          <w:p>
            <w:r>
              <w:rPr>
                <w:rFonts w:ascii="Times New Roman" w:hAnsi="Times New Roman" w:eastAsia="Times New Roman"/>
                <w:b/>
                <w:sz w:val="16"/>
              </w:rPr>
              <w:t>95% CI</w:t>
            </w:r>
          </w:p>
        </w:tc>
      </w:tr>
      <w:tr>
        <w:tc>
          <w:tcPr>
            <w:tcW w:type="dxa" w:w="2510"/>
          </w:tcPr>
          <w:p>
            <w:r>
              <w:rPr>
                <w:rFonts w:ascii="Times New Roman" w:hAnsi="Times New Roman" w:eastAsia="Times New Roman"/>
                <w:sz w:val="16"/>
              </w:rPr>
              <w:t>B0</w:t>
            </w:r>
          </w:p>
        </w:tc>
        <w:tc>
          <w:tcPr>
            <w:tcW w:type="dxa" w:w="2510"/>
          </w:tcPr>
          <w:p>
            <w:r>
              <w:rPr>
                <w:rFonts w:ascii="Times New Roman" w:hAnsi="Times New Roman" w:eastAsia="Times New Roman"/>
                <w:sz w:val="16"/>
              </w:rPr>
              <w:t>Uniform = MHLW grand mean</w:t>
            </w:r>
          </w:p>
        </w:tc>
        <w:tc>
          <w:tcPr>
            <w:tcW w:type="dxa" w:w="2510"/>
          </w:tcPr>
          <w:p>
            <w:r>
              <w:rPr>
                <w:rFonts w:ascii="Times New Roman" w:hAnsi="Times New Roman" w:eastAsia="Times New Roman"/>
                <w:sz w:val="16"/>
              </w:rPr>
              <w:t>0.00%</w:t>
            </w:r>
          </w:p>
        </w:tc>
        <w:tc>
          <w:tcPr>
            <w:tcW w:type="dxa" w:w="2510"/>
          </w:tcPr>
          <w:p>
            <w:r>
              <w:rPr>
                <w:rFonts w:ascii="Times New Roman" w:hAnsi="Times New Roman" w:eastAsia="Times New Roman"/>
                <w:sz w:val="16"/>
              </w:rPr>
              <w:t>[0.00, 0.00] (deterministic)</w:t>
            </w:r>
          </w:p>
        </w:tc>
      </w:tr>
      <w:tr>
        <w:tc>
          <w:tcPr>
            <w:tcW w:type="dxa" w:w="2510"/>
          </w:tcPr>
          <w:p>
            <w:r>
              <w:rPr>
                <w:rFonts w:ascii="Times New Roman" w:hAnsi="Times New Roman" w:eastAsia="Times New Roman"/>
                <w:sz w:val="16"/>
              </w:rPr>
              <w:t>B1</w:t>
            </w:r>
          </w:p>
        </w:tc>
        <w:tc>
          <w:tcPr>
            <w:tcW w:type="dxa" w:w="2510"/>
          </w:tcPr>
          <w:p>
            <w:r>
              <w:rPr>
                <w:rFonts w:ascii="Times New Roman" w:hAnsi="Times New Roman" w:eastAsia="Times New Roman"/>
                <w:sz w:val="16"/>
              </w:rPr>
              <w:t>Gender logistic</w:t>
            </w:r>
          </w:p>
        </w:tc>
        <w:tc>
          <w:tcPr>
            <w:tcW w:type="dxa" w:w="2510"/>
          </w:tcPr>
          <w:p>
            <w:r>
              <w:rPr>
                <w:rFonts w:ascii="Times New Roman" w:hAnsi="Times New Roman" w:eastAsia="Times New Roman"/>
                <w:sz w:val="16"/>
              </w:rPr>
              <w:t>46.02%</w:t>
            </w:r>
          </w:p>
        </w:tc>
        <w:tc>
          <w:tcPr>
            <w:tcW w:type="dxa" w:w="2510"/>
          </w:tcPr>
          <w:p>
            <w:r>
              <w:rPr>
                <w:rFonts w:ascii="Times New Roman" w:hAnsi="Times New Roman" w:eastAsia="Times New Roman"/>
                <w:sz w:val="16"/>
              </w:rPr>
              <w:t>[46.02, 46.02] (deterministic)</w:t>
            </w:r>
          </w:p>
        </w:tc>
      </w:tr>
      <w:tr>
        <w:tc>
          <w:tcPr>
            <w:tcW w:type="dxa" w:w="2510"/>
          </w:tcPr>
          <w:p>
            <w:r>
              <w:rPr>
                <w:rFonts w:ascii="Times New Roman" w:hAnsi="Times New Roman" w:eastAsia="Times New Roman"/>
                <w:sz w:val="16"/>
              </w:rPr>
              <w:t>B2</w:t>
            </w:r>
          </w:p>
        </w:tc>
        <w:tc>
          <w:tcPr>
            <w:tcW w:type="dxa" w:w="2510"/>
          </w:tcPr>
          <w:p>
            <w:r>
              <w:rPr>
                <w:rFonts w:ascii="Times New Roman" w:hAnsi="Times New Roman" w:eastAsia="Times New Roman"/>
                <w:sz w:val="16"/>
              </w:rPr>
              <w:t>HEXACO 6-domain logistic</w:t>
            </w:r>
          </w:p>
        </w:tc>
        <w:tc>
          <w:tcPr>
            <w:tcW w:type="dxa" w:w="2510"/>
          </w:tcPr>
          <w:p>
            <w:r>
              <w:rPr>
                <w:rFonts w:ascii="Times New Roman" w:hAnsi="Times New Roman" w:eastAsia="Times New Roman"/>
                <w:sz w:val="16"/>
              </w:rPr>
              <w:t>43.98%</w:t>
            </w:r>
          </w:p>
        </w:tc>
        <w:tc>
          <w:tcPr>
            <w:tcW w:type="dxa" w:w="2510"/>
          </w:tcPr>
          <w:p>
            <w:r>
              <w:rPr>
                <w:rFonts w:ascii="Times New Roman" w:hAnsi="Times New Roman" w:eastAsia="Times New Roman"/>
                <w:sz w:val="16"/>
              </w:rPr>
              <w:t>[40.33, 47.35]</w:t>
            </w:r>
          </w:p>
        </w:tc>
      </w:tr>
      <w:tr>
        <w:tc>
          <w:tcPr>
            <w:tcW w:type="dxa" w:w="2510"/>
          </w:tcPr>
          <w:p>
            <w:r>
              <w:rPr>
                <w:rFonts w:ascii="Times New Roman" w:hAnsi="Times New Roman" w:eastAsia="Times New Roman"/>
                <w:sz w:val="16"/>
              </w:rPr>
              <w:t>B3</w:t>
            </w:r>
          </w:p>
        </w:tc>
        <w:tc>
          <w:tcPr>
            <w:tcW w:type="dxa" w:w="2510"/>
          </w:tcPr>
          <w:p>
            <w:r>
              <w:rPr>
                <w:rFonts w:ascii="Times New Roman" w:hAnsi="Times New Roman" w:eastAsia="Times New Roman"/>
                <w:sz w:val="16"/>
              </w:rPr>
              <w:t>14-cell conditional</w:t>
            </w:r>
          </w:p>
        </w:tc>
        <w:tc>
          <w:tcPr>
            <w:tcW w:type="dxa" w:w="2510"/>
          </w:tcPr>
          <w:p>
            <w:r>
              <w:rPr>
                <w:rFonts w:ascii="Times New Roman" w:hAnsi="Times New Roman" w:eastAsia="Times New Roman"/>
                <w:sz w:val="16"/>
              </w:rPr>
              <w:t>46.34%</w:t>
            </w:r>
          </w:p>
        </w:tc>
        <w:tc>
          <w:tcPr>
            <w:tcW w:type="dxa" w:w="2510"/>
          </w:tcPr>
          <w:p>
            <w:r>
              <w:rPr>
                <w:rFonts w:ascii="Times New Roman" w:hAnsi="Times New Roman" w:eastAsia="Times New Roman"/>
                <w:sz w:val="16"/>
              </w:rPr>
              <w:t>[46.34, 46.34] (deterministic)</w:t>
            </w:r>
          </w:p>
        </w:tc>
      </w:tr>
      <w:tr>
        <w:tc>
          <w:tcPr>
            <w:tcW w:type="dxa" w:w="2510"/>
          </w:tcPr>
          <w:p>
            <w:r>
              <w:rPr>
                <w:rFonts w:ascii="Times New Roman" w:hAnsi="Times New Roman" w:eastAsia="Times New Roman"/>
                <w:sz w:val="16"/>
              </w:rPr>
              <w:t>B4</w:t>
            </w:r>
          </w:p>
        </w:tc>
        <w:tc>
          <w:tcPr>
            <w:tcW w:type="dxa" w:w="2510"/>
          </w:tcPr>
          <w:p>
            <w:r>
              <w:rPr>
                <w:rFonts w:ascii="Times New Roman" w:hAnsi="Times New Roman" w:eastAsia="Times New Roman"/>
                <w:sz w:val="16"/>
              </w:rPr>
              <w:t>Extended (age + age × cluster)</w:t>
            </w:r>
          </w:p>
        </w:tc>
        <w:tc>
          <w:tcPr>
            <w:tcW w:type="dxa" w:w="2510"/>
          </w:tcPr>
          <w:p>
            <w:r>
              <w:rPr>
                <w:rFonts w:ascii="Times New Roman" w:hAnsi="Times New Roman" w:eastAsia="Times New Roman"/>
                <w:sz w:val="16"/>
              </w:rPr>
              <w:t>47.04%</w:t>
            </w:r>
          </w:p>
        </w:tc>
        <w:tc>
          <w:tcPr>
            <w:tcW w:type="dxa" w:w="2510"/>
          </w:tcPr>
          <w:p>
            <w:r>
              <w:rPr>
                <w:rFonts w:ascii="Times New Roman" w:hAnsi="Times New Roman" w:eastAsia="Times New Roman"/>
                <w:sz w:val="16"/>
              </w:rPr>
              <w:t>[45.02, 49.05]</w:t>
            </w:r>
          </w:p>
        </w:tc>
      </w:tr>
    </w:tbl>
    <w:p>
      <w:pPr>
        <w:spacing w:line="240" w:lineRule="auto" w:before="0" w:after="0"/>
        <w:ind w:firstLine="180"/>
        <w:jc w:val="both"/>
      </w:pPr>
      <w:r>
        <w:rPr>
          <w:rFonts w:ascii="Times New Roman" w:hAnsi="Times New Roman" w:eastAsia="Times New Roman"/>
          <w:sz w:val="20"/>
        </w:rPr>
        <w:t>The H2 hypothesis (B0 &gt; B1 &gt; B2 &gt; B3 &gt; B4 in MAPE, monotonic improvement) was tested via Bonferroni-Holm-corrected pairwise inequalities; 0 of 4 pairs were confirmed at one-sided α = 0.05. Page's L (1963) ordinal trend test produced p = 0.9757, far from significance.</w:t>
      </w:r>
    </w:p>
    <w:p>
      <w:pPr>
        <w:spacing w:line="240" w:lineRule="auto" w:before="0" w:after="0"/>
        <w:ind w:firstLine="180"/>
        <w:jc w:val="both"/>
      </w:pPr>
      <w:r>
        <w:rPr>
          <w:rFonts w:ascii="Times New Roman" w:hAnsi="Times New Roman" w:eastAsia="Times New Roman"/>
          <w:sz w:val="20"/>
        </w:rPr>
        <w:t>The H2 decision is therefore ambiguous_or_reversed: the model sophistication ladder does not exhibit a monotonic improvement signature. Substantively, this indicates that the 14-cell conditional model (B3) does not dominate simpler alternatives (B1, B2) in terms of predictive accuracy. We interpret this as evidence that the 14-cell partition is not over-fit to the training subsample (a moderately favorable finding), but the benefit of the additional cluster × gender stratification is not detectable at this sample size with the present binarization.</w:t>
      </w:r>
    </w:p>
    <w:p>
      <w:pPr>
        <w:spacing w:line="240" w:lineRule="auto" w:before="80" w:after="40"/>
      </w:pPr>
      <w:r>
        <w:rPr>
          <w:rFonts w:ascii="Times New Roman" w:hAnsi="Times New Roman" w:eastAsia="Times New Roman"/>
          <w:b/>
          <w:sz w:val="20"/>
        </w:rPr>
        <w:t>E. Common-method-variance diagnostic (Stage 5)</w:t>
      </w:r>
    </w:p>
    <w:p>
      <w:pPr>
        <w:spacing w:line="240" w:lineRule="auto" w:before="0" w:after="0"/>
        <w:ind w:firstLine="180"/>
        <w:jc w:val="both"/>
      </w:pPr>
      <w:r>
        <w:rPr>
          <w:rFonts w:ascii="Times New Roman" w:hAnsi="Times New Roman" w:eastAsia="Times New Roman"/>
          <w:sz w:val="20"/>
        </w:rPr>
        <w:t>Harman's single-factor test on 11 standardized variables (6 HEXACO + 3 Dark Triad + 2 harassment continuous scales; N = 353 used after listwise deletion) yielded:</w:t>
      </w:r>
    </w:p>
    <w:p>
      <w:pPr>
        <w:pStyle w:val="ListBullet"/>
        <w:spacing w:line="240" w:lineRule="auto" w:before="0" w:after="0"/>
        <w:jc w:val="both"/>
      </w:pPr>
      <w:r>
        <w:rPr>
          <w:rFonts w:ascii="Times New Roman" w:hAnsi="Times New Roman" w:eastAsia="Times New Roman"/>
          <w:sz w:val="20"/>
        </w:rPr>
        <w:t>First-factor variance: 24.08% (well below the 50% concern threshold);</w:t>
      </w:r>
    </w:p>
    <w:p>
      <w:pPr>
        <w:pStyle w:val="ListBullet"/>
        <w:spacing w:line="240" w:lineRule="auto" w:before="0" w:after="0"/>
        <w:jc w:val="both"/>
      </w:pPr>
      <w:r>
        <w:rPr>
          <w:rFonts w:ascii="Times New Roman" w:hAnsi="Times New Roman" w:eastAsia="Times New Roman"/>
          <w:sz w:val="20"/>
        </w:rPr>
        <w:t>CMV concern flag: False;</w:t>
      </w:r>
    </w:p>
    <w:p>
      <w:pPr>
        <w:pStyle w:val="ListBullet"/>
        <w:spacing w:line="240" w:lineRule="auto" w:before="0" w:after="0"/>
        <w:jc w:val="both"/>
      </w:pPr>
      <w:r>
        <w:rPr>
          <w:rFonts w:ascii="Times New Roman" w:hAnsi="Times New Roman" w:eastAsia="Times New Roman"/>
          <w:sz w:val="20"/>
        </w:rPr>
        <w:t>Marker-variable correction [31] using HEXACO Openness as theoretical marker:</w:t>
      </w:r>
    </w:p>
    <w:p>
      <w:pPr>
        <w:pStyle w:val="ListBullet"/>
        <w:spacing w:line="240" w:lineRule="auto" w:before="0" w:after="0"/>
        <w:jc w:val="both"/>
      </w:pPr>
      <w:r>
        <w:rPr>
          <w:rFonts w:ascii="Times New Roman" w:hAnsi="Times New Roman" w:eastAsia="Times New Roman"/>
          <w:sz w:val="20"/>
        </w:rPr>
        <w:t>r(O, power harassment) = +0.068 (CMV estimate);</w:t>
      </w:r>
    </w:p>
    <w:p>
      <w:pPr>
        <w:pStyle w:val="ListBullet"/>
        <w:spacing w:line="240" w:lineRule="auto" w:before="0" w:after="0"/>
        <w:jc w:val="both"/>
      </w:pPr>
      <w:r>
        <w:rPr>
          <w:rFonts w:ascii="Times New Roman" w:hAnsi="Times New Roman" w:eastAsia="Times New Roman"/>
          <w:sz w:val="20"/>
        </w:rPr>
        <w:t>r(O, gender harassment) = −0.181;</w:t>
      </w:r>
    </w:p>
    <w:p>
      <w:pPr>
        <w:pStyle w:val="ListBullet"/>
        <w:spacing w:line="240" w:lineRule="auto" w:before="0" w:after="0"/>
        <w:jc w:val="both"/>
      </w:pPr>
      <w:r>
        <w:rPr>
          <w:rFonts w:ascii="Times New Roman" w:hAnsi="Times New Roman" w:eastAsia="Times New Roman"/>
          <w:sz w:val="20"/>
        </w:rPr>
        <w:t>Honesty-Humility–power harassment association: r_raw = −0.265 → r_adjusted = −0.356 (slightly strengthened after CMV correction);</w:t>
      </w:r>
    </w:p>
    <w:p>
      <w:pPr>
        <w:pStyle w:val="ListBullet"/>
        <w:spacing w:line="240" w:lineRule="auto" w:before="0" w:after="0"/>
        <w:jc w:val="both"/>
      </w:pPr>
      <w:r>
        <w:rPr>
          <w:rFonts w:ascii="Times New Roman" w:hAnsi="Times New Roman" w:eastAsia="Times New Roman"/>
          <w:sz w:val="20"/>
        </w:rPr>
        <w:t>Psychopathy–power harassment association: r_raw = +0.391 → r_adjusted = +0.347.</w:t>
      </w:r>
    </w:p>
    <w:p>
      <w:pPr>
        <w:spacing w:line="240" w:lineRule="auto" w:before="0" w:after="0"/>
        <w:ind w:firstLine="180"/>
        <w:jc w:val="both"/>
      </w:pPr>
      <w:r>
        <w:rPr>
          <w:rFonts w:ascii="Times New Roman" w:hAnsi="Times New Roman" w:eastAsia="Times New Roman"/>
          <w:sz w:val="20"/>
        </w:rPr>
        <w:t>Common-method bias does not pose substantial concern for the present data, and the post-correction associations remain in the expected directions.</w:t>
      </w:r>
    </w:p>
    <w:p>
      <w:pPr>
        <w:spacing w:line="240" w:lineRule="auto" w:before="80" w:after="40"/>
      </w:pPr>
      <w:r>
        <w:rPr>
          <w:rFonts w:ascii="Times New Roman" w:hAnsi="Times New Roman" w:eastAsia="Times New Roman"/>
          <w:b/>
          <w:sz w:val="20"/>
        </w:rPr>
        <w:t>F. Counterfactual contrasts and H7 IUT (Stage 7)</w:t>
      </w:r>
    </w:p>
    <w:p>
      <w:pPr>
        <w:spacing w:line="240" w:lineRule="auto" w:before="0" w:after="0"/>
        <w:ind w:firstLine="180"/>
        <w:jc w:val="both"/>
      </w:pPr>
      <w:r>
        <w:rPr>
          <w:rFonts w:ascii="Times New Roman" w:hAnsi="Times New Roman" w:eastAsia="Times New Roman"/>
          <w:sz w:val="20"/>
        </w:rPr>
        <w:t>The three pre-registered counterfactual interventions produced the following ΔP_x estimates (Table 4).</w:t>
      </w:r>
    </w:p>
    <w:p>
      <w:pPr>
        <w:spacing w:line="240" w:lineRule="auto" w:before="0" w:after="0"/>
        <w:ind w:firstLine="180"/>
        <w:jc w:val="both"/>
      </w:pPr>
      <w:r>
        <w:rPr>
          <w:rFonts w:ascii="Times New Roman" w:hAnsi="Times New Roman" w:eastAsia="Times New Roman"/>
          <w:sz w:val="20"/>
        </w:rPr>
        <w:t>Table 4. Counterfactual ΔP_x = (P̂_counterfactual − P̂_baseline) at the national level. B = 2,000 cell-stratified bootstrap. Positive ΔP indicates reduction in prevalence (per pre-registration v2.0 sign convention).</w:t>
      </w:r>
    </w:p>
    <w:tbl>
      <w:tblPr>
        <w:tblW w:type="auto" w:w="0"/>
        <w:tblLook w:firstColumn="1" w:firstRow="1" w:lastColumn="0" w:lastRow="0" w:noHBand="0" w:noVBand="1" w:val="04A0"/>
      </w:tblPr>
      <w:tblGrid>
        <w:gridCol w:w="2008"/>
        <w:gridCol w:w="2008"/>
        <w:gridCol w:w="2008"/>
        <w:gridCol w:w="2008"/>
        <w:gridCol w:w="2008"/>
      </w:tblGrid>
      <w:tr>
        <w:tc>
          <w:tcPr>
            <w:tcW w:type="dxa" w:w="2008"/>
          </w:tcPr>
          <w:p>
            <w:r>
              <w:rPr>
                <w:rFonts w:ascii="Times New Roman" w:hAnsi="Times New Roman" w:eastAsia="Times New Roman"/>
                <w:b/>
                <w:sz w:val="16"/>
              </w:rPr>
              <w:t>Intervention</w:t>
            </w:r>
          </w:p>
        </w:tc>
        <w:tc>
          <w:tcPr>
            <w:tcW w:type="dxa" w:w="2008"/>
          </w:tcPr>
          <w:p>
            <w:r>
              <w:rPr>
                <w:rFonts w:ascii="Times New Roman" w:hAnsi="Times New Roman" w:eastAsia="Times New Roman"/>
                <w:b/>
                <w:sz w:val="16"/>
              </w:rPr>
              <w:t>Operationalization</w:t>
            </w:r>
          </w:p>
        </w:tc>
        <w:tc>
          <w:tcPr>
            <w:tcW w:type="dxa" w:w="2008"/>
          </w:tcPr>
          <w:p>
            <w:r>
              <w:rPr>
                <w:rFonts w:ascii="Times New Roman" w:hAnsi="Times New Roman" w:eastAsia="Times New Roman"/>
                <w:b/>
                <w:sz w:val="16"/>
              </w:rPr>
              <w:t>ΔP point</w:t>
            </w:r>
          </w:p>
        </w:tc>
        <w:tc>
          <w:tcPr>
            <w:tcW w:type="dxa" w:w="2008"/>
          </w:tcPr>
          <w:p>
            <w:r>
              <w:rPr>
                <w:rFonts w:ascii="Times New Roman" w:hAnsi="Times New Roman" w:eastAsia="Times New Roman"/>
                <w:b/>
                <w:sz w:val="16"/>
              </w:rPr>
              <w:t>95% CI</w:t>
            </w:r>
          </w:p>
        </w:tc>
        <w:tc>
          <w:tcPr>
            <w:tcW w:type="dxa" w:w="2008"/>
          </w:tcPr>
          <w:p>
            <w:r>
              <w:rPr>
                <w:rFonts w:ascii="Times New Roman" w:hAnsi="Times New Roman" w:eastAsia="Times New Roman"/>
                <w:b/>
                <w:sz w:val="16"/>
              </w:rPr>
              <w:t>Decision (CI excludes 0?)</w:t>
            </w:r>
          </w:p>
        </w:tc>
      </w:tr>
      <w:tr>
        <w:tc>
          <w:tcPr>
            <w:tcW w:type="dxa" w:w="2008"/>
          </w:tcPr>
          <w:p>
            <w:r>
              <w:rPr>
                <w:rFonts w:ascii="Times New Roman" w:hAnsi="Times New Roman" w:eastAsia="Times New Roman"/>
                <w:sz w:val="16"/>
              </w:rPr>
              <w:t>Counterfactual A</w:t>
            </w:r>
          </w:p>
        </w:tc>
        <w:tc>
          <w:tcPr>
            <w:tcW w:type="dxa" w:w="2008"/>
          </w:tcPr>
          <w:p>
            <w:r>
              <w:rPr>
                <w:rFonts w:ascii="Times New Roman" w:hAnsi="Times New Roman" w:eastAsia="Times New Roman"/>
                <w:sz w:val="16"/>
              </w:rPr>
              <w:t>do(HH ← HH + 0.3σ; A ← A + 0.3σ; E ← E + 0.3σ)</w:t>
            </w:r>
          </w:p>
        </w:tc>
        <w:tc>
          <w:tcPr>
            <w:tcW w:type="dxa" w:w="2008"/>
          </w:tcPr>
          <w:p>
            <w:r>
              <w:rPr>
                <w:rFonts w:ascii="Times New Roman" w:hAnsi="Times New Roman" w:eastAsia="Times New Roman"/>
                <w:sz w:val="16"/>
              </w:rPr>
              <w:t>−0.0061</w:t>
            </w:r>
          </w:p>
        </w:tc>
        <w:tc>
          <w:tcPr>
            <w:tcW w:type="dxa" w:w="2008"/>
          </w:tcPr>
          <w:p>
            <w:r>
              <w:rPr>
                <w:rFonts w:ascii="Times New Roman" w:hAnsi="Times New Roman" w:eastAsia="Times New Roman"/>
                <w:sz w:val="16"/>
              </w:rPr>
              <w:t>[−0.0207, +0.0062]</w:t>
            </w:r>
          </w:p>
        </w:tc>
        <w:tc>
          <w:tcPr>
            <w:tcW w:type="dxa" w:w="2008"/>
          </w:tcPr>
          <w:p>
            <w:r>
              <w:rPr>
                <w:rFonts w:ascii="Times New Roman" w:hAnsi="Times New Roman" w:eastAsia="Times New Roman"/>
                <w:sz w:val="16"/>
              </w:rPr>
              <w:t>No (null)</w:t>
            </w:r>
          </w:p>
        </w:tc>
      </w:tr>
      <w:tr>
        <w:tc>
          <w:tcPr>
            <w:tcW w:type="dxa" w:w="2008"/>
          </w:tcPr>
          <w:p>
            <w:r>
              <w:rPr>
                <w:rFonts w:ascii="Times New Roman" w:hAnsi="Times New Roman" w:eastAsia="Times New Roman"/>
                <w:sz w:val="16"/>
              </w:rPr>
              <w:t>Counterfactual B</w:t>
            </w:r>
          </w:p>
        </w:tc>
        <w:tc>
          <w:tcPr>
            <w:tcW w:type="dxa" w:w="2008"/>
          </w:tcPr>
          <w:p>
            <w:r>
              <w:rPr>
                <w:rFonts w:ascii="Times New Roman" w:hAnsi="Times New Roman" w:eastAsia="Times New Roman"/>
                <w:sz w:val="16"/>
              </w:rPr>
              <w:t>do(HH := HH + 0.40σ_HH) for individuals whose baseline cluster ∈ {0, 4, 6}</w:t>
            </w:r>
          </w:p>
        </w:tc>
        <w:tc>
          <w:tcPr>
            <w:tcW w:type="dxa" w:w="2008"/>
          </w:tcPr>
          <w:p>
            <w:r>
              <w:rPr>
                <w:rFonts w:ascii="Times New Roman" w:hAnsi="Times New Roman" w:eastAsia="Times New Roman"/>
                <w:sz w:val="16"/>
              </w:rPr>
              <w:t>−0.0059</w:t>
            </w:r>
          </w:p>
        </w:tc>
        <w:tc>
          <w:tcPr>
            <w:tcW w:type="dxa" w:w="2008"/>
          </w:tcPr>
          <w:p>
            <w:r>
              <w:rPr>
                <w:rFonts w:ascii="Times New Roman" w:hAnsi="Times New Roman" w:eastAsia="Times New Roman"/>
                <w:sz w:val="16"/>
              </w:rPr>
              <w:t>[−0.0207, +0.0066]</w:t>
            </w:r>
          </w:p>
        </w:tc>
        <w:tc>
          <w:tcPr>
            <w:tcW w:type="dxa" w:w="2008"/>
          </w:tcPr>
          <w:p>
            <w:r>
              <w:rPr>
                <w:rFonts w:ascii="Times New Roman" w:hAnsi="Times New Roman" w:eastAsia="Times New Roman"/>
                <w:sz w:val="16"/>
              </w:rPr>
              <w:t>No (null)</w:t>
            </w:r>
          </w:p>
        </w:tc>
      </w:tr>
      <w:tr>
        <w:tc>
          <w:tcPr>
            <w:tcW w:type="dxa" w:w="2008"/>
          </w:tcPr>
          <w:p>
            <w:r>
              <w:rPr>
                <w:rFonts w:ascii="Times New Roman" w:hAnsi="Times New Roman" w:eastAsia="Times New Roman"/>
                <w:sz w:val="16"/>
              </w:rPr>
              <w:t>Counterfactual C</w:t>
            </w:r>
          </w:p>
        </w:tc>
        <w:tc>
          <w:tcPr>
            <w:tcW w:type="dxa" w:w="2008"/>
          </w:tcPr>
          <w:p>
            <w:r>
              <w:rPr>
                <w:rFonts w:ascii="Times New Roman" w:hAnsi="Times New Roman" w:eastAsia="Times New Roman"/>
                <w:sz w:val="16"/>
              </w:rPr>
              <w:t>do(P_{c, x} ← 0.80 × P_{c, x})</w:t>
            </w:r>
          </w:p>
        </w:tc>
        <w:tc>
          <w:tcPr>
            <w:tcW w:type="dxa" w:w="2008"/>
          </w:tcPr>
          <w:p>
            <w:r>
              <w:rPr>
                <w:rFonts w:ascii="Times New Roman" w:hAnsi="Times New Roman" w:eastAsia="Times New Roman"/>
                <w:sz w:val="16"/>
              </w:rPr>
              <w:t>+0.0349</w:t>
            </w:r>
          </w:p>
        </w:tc>
        <w:tc>
          <w:tcPr>
            <w:tcW w:type="dxa" w:w="2008"/>
          </w:tcPr>
          <w:p>
            <w:r>
              <w:rPr>
                <w:rFonts w:ascii="Times New Roman" w:hAnsi="Times New Roman" w:eastAsia="Times New Roman"/>
                <w:sz w:val="16"/>
              </w:rPr>
              <w:t>[+0.0264, +0.0435]</w:t>
            </w:r>
          </w:p>
        </w:tc>
        <w:tc>
          <w:tcPr>
            <w:tcW w:type="dxa" w:w="2008"/>
          </w:tcPr>
          <w:p>
            <w:r>
              <w:rPr>
                <w:rFonts w:ascii="Times New Roman" w:hAnsi="Times New Roman" w:eastAsia="Times New Roman"/>
                <w:sz w:val="16"/>
              </w:rPr>
              <w:t>Yes (positive)</w:t>
            </w:r>
          </w:p>
        </w:tc>
      </w:tr>
    </w:tbl>
    <w:p>
      <w:pPr>
        <w:spacing w:line="240" w:lineRule="auto" w:before="0" w:after="0"/>
        <w:ind w:firstLine="180"/>
        <w:jc w:val="both"/>
      </w:pPr>
      <w:r>
        <w:rPr>
          <w:rFonts w:ascii="Times New Roman" w:hAnsi="Times New Roman" w:eastAsia="Times New Roman"/>
          <w:sz w:val="20"/>
        </w:rPr>
        <w:t>The intersection-union test [30] produced one-sided 95% lower bounds L_BA = −0.0011 and L_BC = −0.0544. Because point ΔP_B = −0.0059 is less than point ΔP_C = +0.0349, the m7 priority-1 condition is satisfied and H7 is classified as REVERSAL. We note that the priority-1 trigger uses the ΔP_B point estimate, which is downgraded to exploratory under the m5 positivity rule (44.5% flagged-weight; see Positivity diagnostic below); however, the CI-based cascade independently corroborates REVERSAL via L_BC = −0.0544 &lt; 0 (ruling out the CONFIRMED branch without relying on the ΔP_B point estimate), and L_BA also lies just below zero. The REVERSAL classification therefore does not depend on the exploratory ΔP_B point estimate alone.</w:t>
      </w:r>
    </w:p>
    <w:p>
      <w:pPr>
        <w:spacing w:line="240" w:lineRule="auto" w:before="0" w:after="0"/>
        <w:ind w:firstLine="180"/>
        <w:jc w:val="both"/>
      </w:pPr>
      <w:r>
        <w:rPr>
          <w:rFonts w:ascii="Times New Roman" w:hAnsi="Times New Roman" w:eastAsia="Times New Roman"/>
          <w:sz w:val="20"/>
        </w:rPr>
        <w:t>Substantively, this means that the cell-level structural intervention (Counterfactual C) outperforms both the universal personality intervention (Counterfactual A) and the targeted personality intervention on the low-prevalence subgroup (Counterfactual B) by a large margin. Numerically, |ΔP_C| / |ΔP_A| ≈ 5.7.</w:t>
      </w:r>
    </w:p>
    <w:p>
      <w:pPr>
        <w:spacing w:line="240" w:lineRule="auto" w:before="0" w:after="0"/>
        <w:ind w:firstLine="180"/>
        <w:jc w:val="both"/>
      </w:pPr>
      <w:r>
        <w:rPr>
          <w:rFonts w:ascii="Times New Roman" w:hAnsi="Times New Roman" w:eastAsia="Times New Roman"/>
          <w:sz w:val="20"/>
        </w:rPr>
        <w:t>Positivity diagnostic. Counterfactual A and Counterfactual C trivially preserve positivity (ρ ≡ 1 by construction; per Methods Clarification m5). Counterfactual B's cell positivity ratio ρ_{c, B} was 44.5% flagged (i.e., 44.5% of population weight in cells where the post-intervention expected count is &lt; 10% of observed), triggering the m5 downgrade rule (flagged_weight ≥ 20%). We therefore interpret Counterfactual B as exploratory rather than confirmatory; the IUT reading is unaffected (ΔP_B remains null), but conclusions about B's null finding cannot be made with the same confidence as A.</w:t>
      </w:r>
    </w:p>
    <w:p>
      <w:pPr>
        <w:spacing w:line="240" w:lineRule="auto" w:before="80" w:after="40"/>
      </w:pPr>
      <w:r>
        <w:rPr>
          <w:rFonts w:ascii="Times New Roman" w:hAnsi="Times New Roman" w:eastAsia="Times New Roman"/>
          <w:b/>
          <w:sz w:val="20"/>
        </w:rPr>
        <w:t>G. Transportability sensitivity (Stage 8)</w:t>
      </w:r>
    </w:p>
    <w:p>
      <w:pPr>
        <w:spacing w:line="240" w:lineRule="auto" w:before="0" w:after="0"/>
        <w:ind w:firstLine="180"/>
        <w:jc w:val="both"/>
      </w:pPr>
      <w:r>
        <w:rPr>
          <w:rFonts w:ascii="Times New Roman" w:hAnsi="Times New Roman" w:eastAsia="Times New Roman"/>
          <w:sz w:val="20"/>
        </w:rPr>
        <w:t>Per the v2.0 master Section 5.8 cultural-attenuation sweep, all three ΔP_x bootstrap distributions were multiplied by transportability factor F ∈ {0.3, 0.5, 0.7, 1.0}, and the H7 IUT was re-classified per factor (Table 5).</w:t>
      </w:r>
    </w:p>
    <w:p>
      <w:pPr>
        <w:spacing w:line="240" w:lineRule="auto" w:before="0" w:after="0"/>
        <w:ind w:firstLine="180"/>
        <w:jc w:val="both"/>
      </w:pPr>
      <w:r>
        <w:rPr>
          <w:rFonts w:ascii="Times New Roman" w:hAnsi="Times New Roman" w:eastAsia="Times New Roman"/>
          <w:sz w:val="20"/>
        </w:rPr>
        <w:t>Table 5. H7 classification under cultural attenuation factors. Each row uses the same H7 IUT procedure on attenuated bootstrap distributions.</w:t>
      </w:r>
    </w:p>
    <w:tbl>
      <w:tblPr>
        <w:tblW w:type="auto" w:w="0"/>
        <w:tblLook w:firstColumn="1" w:firstRow="1" w:lastColumn="0" w:lastRow="0" w:noHBand="0" w:noVBand="1" w:val="04A0"/>
      </w:tblPr>
      <w:tblGrid>
        <w:gridCol w:w="2008"/>
        <w:gridCol w:w="2008"/>
        <w:gridCol w:w="2008"/>
        <w:gridCol w:w="2008"/>
        <w:gridCol w:w="2008"/>
      </w:tblGrid>
      <w:tr>
        <w:tc>
          <w:tcPr>
            <w:tcW w:type="dxa" w:w="2008"/>
          </w:tcPr>
          <w:p>
            <w:r>
              <w:rPr>
                <w:rFonts w:ascii="Times New Roman" w:hAnsi="Times New Roman" w:eastAsia="Times New Roman"/>
                <w:b/>
                <w:sz w:val="16"/>
              </w:rPr>
              <w:t>Factor F</w:t>
            </w:r>
          </w:p>
        </w:tc>
        <w:tc>
          <w:tcPr>
            <w:tcW w:type="dxa" w:w="2008"/>
          </w:tcPr>
          <w:p>
            <w:r>
              <w:rPr>
                <w:rFonts w:ascii="Times New Roman" w:hAnsi="Times New Roman" w:eastAsia="Times New Roman"/>
                <w:b/>
                <w:sz w:val="16"/>
              </w:rPr>
              <w:t>Anchor</w:t>
            </w:r>
          </w:p>
        </w:tc>
        <w:tc>
          <w:tcPr>
            <w:tcW w:type="dxa" w:w="2008"/>
          </w:tcPr>
          <w:p>
            <w:r>
              <w:rPr>
                <w:rFonts w:ascii="Times New Roman" w:hAnsi="Times New Roman" w:eastAsia="Times New Roman"/>
                <w:b/>
                <w:sz w:val="16"/>
              </w:rPr>
              <w:t>ΔP_A (attenuated)</w:t>
            </w:r>
          </w:p>
        </w:tc>
        <w:tc>
          <w:tcPr>
            <w:tcW w:type="dxa" w:w="2008"/>
          </w:tcPr>
          <w:p>
            <w:r>
              <w:rPr>
                <w:rFonts w:ascii="Times New Roman" w:hAnsi="Times New Roman" w:eastAsia="Times New Roman"/>
                <w:b/>
                <w:sz w:val="16"/>
              </w:rPr>
              <w:t>ΔP_C (attenuated)</w:t>
            </w:r>
          </w:p>
        </w:tc>
        <w:tc>
          <w:tcPr>
            <w:tcW w:type="dxa" w:w="2008"/>
          </w:tcPr>
          <w:p>
            <w:r>
              <w:rPr>
                <w:rFonts w:ascii="Times New Roman" w:hAnsi="Times New Roman" w:eastAsia="Times New Roman"/>
                <w:b/>
                <w:sz w:val="16"/>
              </w:rPr>
              <w:t>H7</w:t>
            </w:r>
          </w:p>
        </w:tc>
      </w:tr>
      <w:tr>
        <w:tc>
          <w:tcPr>
            <w:tcW w:type="dxa" w:w="2008"/>
          </w:tcPr>
          <w:p>
            <w:r>
              <w:rPr>
                <w:rFonts w:ascii="Times New Roman" w:hAnsi="Times New Roman" w:eastAsia="Times New Roman"/>
                <w:sz w:val="16"/>
              </w:rPr>
              <w:t>0.3</w:t>
            </w:r>
          </w:p>
        </w:tc>
        <w:tc>
          <w:tcPr>
            <w:tcW w:type="dxa" w:w="2008"/>
          </w:tcPr>
          <w:p>
            <w:r>
              <w:rPr>
                <w:rFonts w:ascii="Times New Roman" w:hAnsi="Times New Roman" w:eastAsia="Times New Roman"/>
                <w:sz w:val="16"/>
              </w:rPr>
              <w:t>Conservative cross-cultural worst case</w:t>
            </w:r>
          </w:p>
        </w:tc>
        <w:tc>
          <w:tcPr>
            <w:tcW w:type="dxa" w:w="2008"/>
          </w:tcPr>
          <w:p>
            <w:r>
              <w:rPr>
                <w:rFonts w:ascii="Times New Roman" w:hAnsi="Times New Roman" w:eastAsia="Times New Roman"/>
                <w:sz w:val="16"/>
              </w:rPr>
              <w:t>−0.0018</w:t>
            </w:r>
          </w:p>
        </w:tc>
        <w:tc>
          <w:tcPr>
            <w:tcW w:type="dxa" w:w="2008"/>
          </w:tcPr>
          <w:p>
            <w:r>
              <w:rPr>
                <w:rFonts w:ascii="Times New Roman" w:hAnsi="Times New Roman" w:eastAsia="Times New Roman"/>
                <w:sz w:val="16"/>
              </w:rPr>
              <w:t>+0.0105</w:t>
            </w:r>
          </w:p>
        </w:tc>
        <w:tc>
          <w:tcPr>
            <w:tcW w:type="dxa" w:w="2008"/>
          </w:tcPr>
          <w:p>
            <w:r>
              <w:rPr>
                <w:rFonts w:ascii="Times New Roman" w:hAnsi="Times New Roman" w:eastAsia="Times New Roman"/>
                <w:sz w:val="16"/>
              </w:rPr>
              <w:t>REVERSAL</w:t>
            </w:r>
          </w:p>
        </w:tc>
      </w:tr>
      <w:tr>
        <w:tc>
          <w:tcPr>
            <w:tcW w:type="dxa" w:w="2008"/>
          </w:tcPr>
          <w:p>
            <w:r>
              <w:rPr>
                <w:rFonts w:ascii="Times New Roman" w:hAnsi="Times New Roman" w:eastAsia="Times New Roman"/>
                <w:sz w:val="16"/>
              </w:rPr>
              <w:t>0.5</w:t>
            </w:r>
          </w:p>
        </w:tc>
        <w:tc>
          <w:tcPr>
            <w:tcW w:type="dxa" w:w="2008"/>
          </w:tcPr>
          <w:p>
            <w:r>
              <w:rPr>
                <w:rFonts w:ascii="Times New Roman" w:hAnsi="Times New Roman" w:eastAsia="Times New Roman"/>
                <w:sz w:val="16"/>
              </w:rPr>
              <w:t>Nielsen et al., 2017 expected</w:t>
            </w:r>
          </w:p>
        </w:tc>
        <w:tc>
          <w:tcPr>
            <w:tcW w:type="dxa" w:w="2008"/>
          </w:tcPr>
          <w:p>
            <w:r>
              <w:rPr>
                <w:rFonts w:ascii="Times New Roman" w:hAnsi="Times New Roman" w:eastAsia="Times New Roman"/>
                <w:sz w:val="16"/>
              </w:rPr>
              <w:t>−0.0031</w:t>
            </w:r>
          </w:p>
        </w:tc>
        <w:tc>
          <w:tcPr>
            <w:tcW w:type="dxa" w:w="2008"/>
          </w:tcPr>
          <w:p>
            <w:r>
              <w:rPr>
                <w:rFonts w:ascii="Times New Roman" w:hAnsi="Times New Roman" w:eastAsia="Times New Roman"/>
                <w:sz w:val="16"/>
              </w:rPr>
              <w:t>+0.0174</w:t>
            </w:r>
          </w:p>
        </w:tc>
        <w:tc>
          <w:tcPr>
            <w:tcW w:type="dxa" w:w="2008"/>
          </w:tcPr>
          <w:p>
            <w:r>
              <w:rPr>
                <w:rFonts w:ascii="Times New Roman" w:hAnsi="Times New Roman" w:eastAsia="Times New Roman"/>
                <w:sz w:val="16"/>
              </w:rPr>
              <w:t>REVERSAL</w:t>
            </w:r>
          </w:p>
        </w:tc>
      </w:tr>
      <w:tr>
        <w:tc>
          <w:tcPr>
            <w:tcW w:type="dxa" w:w="2008"/>
          </w:tcPr>
          <w:p>
            <w:r>
              <w:rPr>
                <w:rFonts w:ascii="Times New Roman" w:hAnsi="Times New Roman" w:eastAsia="Times New Roman"/>
                <w:sz w:val="16"/>
              </w:rPr>
              <w:t>0.7</w:t>
            </w:r>
          </w:p>
        </w:tc>
        <w:tc>
          <w:tcPr>
            <w:tcW w:type="dxa" w:w="2008"/>
          </w:tcPr>
          <w:p>
            <w:r>
              <w:rPr>
                <w:rFonts w:ascii="Times New Roman" w:hAnsi="Times New Roman" w:eastAsia="Times New Roman"/>
                <w:sz w:val="16"/>
              </w:rPr>
              <w:t>Mild attenuation</w:t>
            </w:r>
          </w:p>
        </w:tc>
        <w:tc>
          <w:tcPr>
            <w:tcW w:type="dxa" w:w="2008"/>
          </w:tcPr>
          <w:p>
            <w:r>
              <w:rPr>
                <w:rFonts w:ascii="Times New Roman" w:hAnsi="Times New Roman" w:eastAsia="Times New Roman"/>
                <w:sz w:val="16"/>
              </w:rPr>
              <w:t>−0.0043</w:t>
            </w:r>
          </w:p>
        </w:tc>
        <w:tc>
          <w:tcPr>
            <w:tcW w:type="dxa" w:w="2008"/>
          </w:tcPr>
          <w:p>
            <w:r>
              <w:rPr>
                <w:rFonts w:ascii="Times New Roman" w:hAnsi="Times New Roman" w:eastAsia="Times New Roman"/>
                <w:sz w:val="16"/>
              </w:rPr>
              <w:t>+0.0244</w:t>
            </w:r>
          </w:p>
        </w:tc>
        <w:tc>
          <w:tcPr>
            <w:tcW w:type="dxa" w:w="2008"/>
          </w:tcPr>
          <w:p>
            <w:r>
              <w:rPr>
                <w:rFonts w:ascii="Times New Roman" w:hAnsi="Times New Roman" w:eastAsia="Times New Roman"/>
                <w:sz w:val="16"/>
              </w:rPr>
              <w:t>REVERSAL</w:t>
            </w:r>
          </w:p>
        </w:tc>
      </w:tr>
      <w:tr>
        <w:tc>
          <w:tcPr>
            <w:tcW w:type="dxa" w:w="2008"/>
          </w:tcPr>
          <w:p>
            <w:r>
              <w:rPr>
                <w:rFonts w:ascii="Times New Roman" w:hAnsi="Times New Roman" w:eastAsia="Times New Roman"/>
                <w:sz w:val="16"/>
              </w:rPr>
              <w:t>1.0</w:t>
            </w:r>
          </w:p>
        </w:tc>
        <w:tc>
          <w:tcPr>
            <w:tcW w:type="dxa" w:w="2008"/>
          </w:tcPr>
          <w:p>
            <w:r>
              <w:rPr>
                <w:rFonts w:ascii="Times New Roman" w:hAnsi="Times New Roman" w:eastAsia="Times New Roman"/>
                <w:sz w:val="16"/>
              </w:rPr>
              <w:t>Reference (no attenuation)</w:t>
            </w:r>
          </w:p>
        </w:tc>
        <w:tc>
          <w:tcPr>
            <w:tcW w:type="dxa" w:w="2008"/>
          </w:tcPr>
          <w:p>
            <w:r>
              <w:rPr>
                <w:rFonts w:ascii="Times New Roman" w:hAnsi="Times New Roman" w:eastAsia="Times New Roman"/>
                <w:sz w:val="16"/>
              </w:rPr>
              <w:t>−0.0061</w:t>
            </w:r>
          </w:p>
        </w:tc>
        <w:tc>
          <w:tcPr>
            <w:tcW w:type="dxa" w:w="2008"/>
          </w:tcPr>
          <w:p>
            <w:r>
              <w:rPr>
                <w:rFonts w:ascii="Times New Roman" w:hAnsi="Times New Roman" w:eastAsia="Times New Roman"/>
                <w:sz w:val="16"/>
              </w:rPr>
              <w:t>+0.0349</w:t>
            </w:r>
          </w:p>
        </w:tc>
        <w:tc>
          <w:tcPr>
            <w:tcW w:type="dxa" w:w="2008"/>
          </w:tcPr>
          <w:p>
            <w:r>
              <w:rPr>
                <w:rFonts w:ascii="Times New Roman" w:hAnsi="Times New Roman" w:eastAsia="Times New Roman"/>
                <w:sz w:val="16"/>
              </w:rPr>
              <w:t>REVERSAL</w:t>
            </w:r>
          </w:p>
        </w:tc>
      </w:tr>
    </w:tbl>
    <w:p>
      <w:pPr>
        <w:spacing w:line="240" w:lineRule="auto" w:before="0" w:after="0"/>
        <w:ind w:firstLine="180"/>
        <w:jc w:val="both"/>
      </w:pPr>
      <w:r>
        <w:rPr>
          <w:rFonts w:ascii="Times New Roman" w:hAnsi="Times New Roman" w:eastAsia="Times New Roman"/>
          <w:sz w:val="20"/>
        </w:rPr>
        <w:t>The H7 = REVERSAL classification is robust across all four pre-registered cultural attenuation factors. Even under the conservative cross-cultural worst-case scenario (F = 0.3), the structural intervention's effect remains substantially larger than the personality intervention's, preserving the qualitative ordering.</w:t>
      </w:r>
    </w:p>
    <w:p>
      <w:pPr>
        <w:spacing w:line="240" w:lineRule="auto" w:before="80" w:after="40"/>
      </w:pPr>
      <w:r>
        <w:rPr>
          <w:rFonts w:ascii="Times New Roman" w:hAnsi="Times New Roman" w:eastAsia="Times New Roman"/>
          <w:b/>
          <w:sz w:val="20"/>
        </w:rPr>
        <w:t>H. Summary of pre-registered hypothesis outcomes</w:t>
      </w:r>
    </w:p>
    <w:p>
      <w:pPr>
        <w:spacing w:line="240" w:lineRule="auto" w:before="0" w:after="0"/>
        <w:ind w:firstLine="180"/>
        <w:jc w:val="both"/>
      </w:pPr>
      <w:r>
        <w:rPr>
          <w:rFonts w:ascii="Times New Roman" w:hAnsi="Times New Roman" w:eastAsia="Times New Roman"/>
          <w:sz w:val="20"/>
        </w:rPr>
        <w:t>Table 6. Pre-registered hypothesis outcomes summary.</w:t>
      </w:r>
    </w:p>
    <w:tbl>
      <w:tblPr>
        <w:tblW w:type="auto" w:w="0"/>
        <w:tblLook w:firstColumn="1" w:firstRow="1" w:lastColumn="0" w:lastRow="0" w:noHBand="0" w:noVBand="1" w:val="04A0"/>
      </w:tblPr>
      <w:tblGrid>
        <w:gridCol w:w="2510"/>
        <w:gridCol w:w="2510"/>
        <w:gridCol w:w="2510"/>
        <w:gridCol w:w="2510"/>
      </w:tblGrid>
      <w:tr>
        <w:tc>
          <w:tcPr>
            <w:tcW w:type="dxa" w:w="2510"/>
          </w:tcPr>
          <w:p>
            <w:r>
              <w:rPr>
                <w:rFonts w:ascii="Times New Roman" w:hAnsi="Times New Roman" w:eastAsia="Times New Roman"/>
                <w:b/>
                <w:sz w:val="16"/>
              </w:rPr>
              <w:t>Hypothesis</w:t>
            </w:r>
          </w:p>
        </w:tc>
        <w:tc>
          <w:tcPr>
            <w:tcW w:type="dxa" w:w="2510"/>
          </w:tcPr>
          <w:p>
            <w:r>
              <w:rPr>
                <w:rFonts w:ascii="Times New Roman" w:hAnsi="Times New Roman" w:eastAsia="Times New Roman"/>
                <w:b/>
                <w:sz w:val="16"/>
              </w:rPr>
              <w:t>Pre-registered prediction</w:t>
            </w:r>
          </w:p>
        </w:tc>
        <w:tc>
          <w:tcPr>
            <w:tcW w:type="dxa" w:w="2510"/>
          </w:tcPr>
          <w:p>
            <w:r>
              <w:rPr>
                <w:rFonts w:ascii="Times New Roman" w:hAnsi="Times New Roman" w:eastAsia="Times New Roman"/>
                <w:b/>
                <w:sz w:val="16"/>
              </w:rPr>
              <w:t>Outcome</w:t>
            </w:r>
          </w:p>
        </w:tc>
        <w:tc>
          <w:tcPr>
            <w:tcW w:type="dxa" w:w="2510"/>
          </w:tcPr>
          <w:p>
            <w:r>
              <w:rPr>
                <w:rFonts w:ascii="Times New Roman" w:hAnsi="Times New Roman" w:eastAsia="Times New Roman"/>
                <w:b/>
                <w:sz w:val="16"/>
              </w:rPr>
              <w:t>Tier</w:t>
            </w:r>
          </w:p>
        </w:tc>
      </w:tr>
      <w:tr>
        <w:tc>
          <w:tcPr>
            <w:tcW w:type="dxa" w:w="2510"/>
          </w:tcPr>
          <w:p>
            <w:r>
              <w:rPr>
                <w:rFonts w:ascii="Times New Roman" w:hAnsi="Times New Roman" w:eastAsia="Times New Roman"/>
                <w:sz w:val="16"/>
              </w:rPr>
              <w:t>H1</w:t>
            </w:r>
          </w:p>
        </w:tc>
        <w:tc>
          <w:tcPr>
            <w:tcW w:type="dxa" w:w="2510"/>
          </w:tcPr>
          <w:p>
            <w:r>
              <w:rPr>
                <w:rFonts w:ascii="Times New Roman" w:hAnsi="Times New Roman" w:eastAsia="Times New Roman"/>
                <w:sz w:val="16"/>
              </w:rPr>
              <w:t>MAPE_FY2016 ≤ 30% (Strict / Standard SUCCESS)</w:t>
            </w:r>
          </w:p>
        </w:tc>
        <w:tc>
          <w:tcPr>
            <w:tcW w:type="dxa" w:w="2510"/>
          </w:tcPr>
          <w:p>
            <w:r>
              <w:rPr>
                <w:rFonts w:ascii="Times New Roman" w:hAnsi="Times New Roman" w:eastAsia="Times New Roman"/>
                <w:sz w:val="16"/>
              </w:rPr>
              <w:t>MAPE = 46.34%</w:t>
            </w:r>
          </w:p>
        </w:tc>
        <w:tc>
          <w:tcPr>
            <w:tcW w:type="dxa" w:w="2510"/>
          </w:tcPr>
          <w:p>
            <w:r>
              <w:rPr>
                <w:rFonts w:ascii="Times New Roman" w:hAnsi="Times New Roman" w:eastAsia="Times New Roman"/>
                <w:sz w:val="16"/>
              </w:rPr>
              <w:t>PARTIAL SUCCESS</w:t>
            </w:r>
          </w:p>
        </w:tc>
      </w:tr>
      <w:tr>
        <w:tc>
          <w:tcPr>
            <w:tcW w:type="dxa" w:w="2510"/>
          </w:tcPr>
          <w:p>
            <w:r>
              <w:rPr>
                <w:rFonts w:ascii="Times New Roman" w:hAnsi="Times New Roman" w:eastAsia="Times New Roman"/>
                <w:sz w:val="16"/>
              </w:rPr>
              <w:t>H2</w:t>
            </w:r>
          </w:p>
        </w:tc>
        <w:tc>
          <w:tcPr>
            <w:tcW w:type="dxa" w:w="2510"/>
          </w:tcPr>
          <w:p>
            <w:r>
              <w:rPr>
                <w:rFonts w:ascii="Times New Roman" w:hAnsi="Times New Roman" w:eastAsia="Times New Roman"/>
                <w:sz w:val="16"/>
              </w:rPr>
              <w:t>Monotonic B0 &gt; B1 &gt; B2 &gt; B3 &gt; B4</w:t>
            </w:r>
          </w:p>
        </w:tc>
        <w:tc>
          <w:tcPr>
            <w:tcW w:type="dxa" w:w="2510"/>
          </w:tcPr>
          <w:p>
            <w:r>
              <w:rPr>
                <w:rFonts w:ascii="Times New Roman" w:hAnsi="Times New Roman" w:eastAsia="Times New Roman"/>
                <w:sz w:val="16"/>
              </w:rPr>
              <w:t>0 of 4 pairs confirmed (Page's L p = 0.976)</w:t>
            </w:r>
          </w:p>
        </w:tc>
        <w:tc>
          <w:tcPr>
            <w:tcW w:type="dxa" w:w="2510"/>
          </w:tcPr>
          <w:p>
            <w:r>
              <w:rPr>
                <w:rFonts w:ascii="Times New Roman" w:hAnsi="Times New Roman" w:eastAsia="Times New Roman"/>
                <w:sz w:val="16"/>
              </w:rPr>
              <w:t>REJECTED</w:t>
            </w:r>
          </w:p>
        </w:tc>
      </w:tr>
      <w:tr>
        <w:tc>
          <w:tcPr>
            <w:tcW w:type="dxa" w:w="2510"/>
          </w:tcPr>
          <w:p>
            <w:r>
              <w:rPr>
                <w:rFonts w:ascii="Times New Roman" w:hAnsi="Times New Roman" w:eastAsia="Times New Roman"/>
                <w:sz w:val="16"/>
              </w:rPr>
              <w:t>H3</w:t>
            </w:r>
          </w:p>
        </w:tc>
        <w:tc>
          <w:tcPr>
            <w:tcW w:type="dxa" w:w="2510"/>
          </w:tcPr>
          <w:p>
            <w:r>
              <w:rPr>
                <w:rFonts w:ascii="Times New Roman" w:hAnsi="Times New Roman" w:eastAsia="Times New Roman"/>
                <w:sz w:val="16"/>
              </w:rPr>
              <w:t>Centroid concordance N=354 vs N=13,668</w:t>
            </w:r>
          </w:p>
        </w:tc>
        <w:tc>
          <w:tcPr>
            <w:tcW w:type="dxa" w:w="2510"/>
          </w:tcPr>
          <w:p>
            <w:r>
              <w:rPr>
                <w:rFonts w:ascii="Times New Roman" w:hAnsi="Times New Roman" w:eastAsia="Times New Roman"/>
                <w:sz w:val="16"/>
              </w:rPr>
              <w:t>Externally validated in Tokiwa [13] via stability analyses on the N=13,668 source sample; not separately re-tested in the present N=354 pipeline</w:t>
            </w:r>
          </w:p>
        </w:tc>
        <w:tc>
          <w:tcPr>
            <w:tcW w:type="dxa" w:w="2510"/>
          </w:tcPr>
          <w:p>
            <w:r>
              <w:rPr>
                <w:rFonts w:ascii="Times New Roman" w:hAnsi="Times New Roman" w:eastAsia="Times New Roman"/>
                <w:sz w:val="16"/>
              </w:rPr>
              <w:t>Externally Confirmed</w:t>
            </w:r>
          </w:p>
        </w:tc>
      </w:tr>
      <w:tr>
        <w:tc>
          <w:tcPr>
            <w:tcW w:type="dxa" w:w="2510"/>
          </w:tcPr>
          <w:p>
            <w:r>
              <w:rPr>
                <w:rFonts w:ascii="Times New Roman" w:hAnsi="Times New Roman" w:eastAsia="Times New Roman"/>
                <w:sz w:val="16"/>
              </w:rPr>
              <w:t>H4</w:t>
            </w:r>
          </w:p>
        </w:tc>
        <w:tc>
          <w:tcPr>
            <w:tcW w:type="dxa" w:w="2510"/>
          </w:tcPr>
          <w:p>
            <w:r>
              <w:rPr>
                <w:rFonts w:ascii="Times New Roman" w:hAnsi="Times New Roman" w:eastAsia="Times New Roman"/>
                <w:sz w:val="16"/>
              </w:rPr>
              <w:t>Per-cell propensity stability across bootstrap procedures</w:t>
            </w:r>
          </w:p>
        </w:tc>
        <w:tc>
          <w:tcPr>
            <w:tcW w:type="dxa" w:w="2510"/>
          </w:tcPr>
          <w:p>
            <w:r>
              <w:rPr>
                <w:rFonts w:ascii="Times New Roman" w:hAnsi="Times New Roman" w:eastAsia="Times New Roman"/>
                <w:sz w:val="16"/>
              </w:rPr>
              <w:t>13/14 cells resolved at BCa; 1 degenerate cell (X=0) at Clopper-Pearson per M4 cascade</w:t>
            </w:r>
          </w:p>
        </w:tc>
        <w:tc>
          <w:tcPr>
            <w:tcW w:type="dxa" w:w="2510"/>
          </w:tcPr>
          <w:p>
            <w:r>
              <w:rPr>
                <w:rFonts w:ascii="Times New Roman" w:hAnsi="Times New Roman" w:eastAsia="Times New Roman"/>
                <w:sz w:val="16"/>
              </w:rPr>
              <w:t>CONFIRMED</w:t>
            </w:r>
          </w:p>
        </w:tc>
      </w:tr>
      <w:tr>
        <w:tc>
          <w:tcPr>
            <w:tcW w:type="dxa" w:w="2510"/>
          </w:tcPr>
          <w:p>
            <w:r>
              <w:rPr>
                <w:rFonts w:ascii="Times New Roman" w:hAnsi="Times New Roman" w:eastAsia="Times New Roman"/>
                <w:sz w:val="16"/>
              </w:rPr>
              <w:t>H5</w:t>
            </w:r>
          </w:p>
        </w:tc>
        <w:tc>
          <w:tcPr>
            <w:tcW w:type="dxa" w:w="2510"/>
          </w:tcPr>
          <w:p>
            <w:r>
              <w:rPr>
                <w:rFonts w:ascii="Times New Roman" w:hAnsi="Times New Roman" w:eastAsia="Times New Roman"/>
                <w:sz w:val="16"/>
              </w:rPr>
              <w:t>Gender invariance</w:t>
            </w:r>
          </w:p>
        </w:tc>
        <w:tc>
          <w:tcPr>
            <w:tcW w:type="dxa" w:w="2510"/>
          </w:tcPr>
          <w:p>
            <w:r>
              <w:rPr>
                <w:rFonts w:ascii="Times New Roman" w:hAnsi="Times New Roman" w:eastAsia="Times New Roman"/>
                <w:sz w:val="16"/>
              </w:rPr>
              <w:t>High concordance of cluster-level power-harassment rankings across genders (Spearman ρ = 0.87, p = 0.01 at 7-cluster level). The 14-cell vs 28-cell comparison adds a role stratification (× 2 roles per cell) rather than re-testing gender invariance; that comparison is reported separately as a robustness check on role-stratification stability and shows no qualitative effect on the cluster-level rank ordering used to evaluate H5.</w:t>
            </w:r>
          </w:p>
        </w:tc>
        <w:tc>
          <w:tcPr>
            <w:tcW w:type="dxa" w:w="2510"/>
          </w:tcPr>
          <w:p>
            <w:r>
              <w:rPr>
                <w:rFonts w:ascii="Times New Roman" w:hAnsi="Times New Roman" w:eastAsia="Times New Roman"/>
                <w:sz w:val="16"/>
              </w:rPr>
              <w:t>CONFIRMED</w:t>
            </w:r>
          </w:p>
        </w:tc>
      </w:tr>
      <w:tr>
        <w:tc>
          <w:tcPr>
            <w:tcW w:type="dxa" w:w="2510"/>
          </w:tcPr>
          <w:p>
            <w:r>
              <w:rPr>
                <w:rFonts w:ascii="Times New Roman" w:hAnsi="Times New Roman" w:eastAsia="Times New Roman"/>
                <w:sz w:val="16"/>
              </w:rPr>
              <w:t>H6</w:t>
            </w:r>
          </w:p>
        </w:tc>
        <w:tc>
          <w:tcPr>
            <w:tcW w:type="dxa" w:w="2510"/>
          </w:tcPr>
          <w:p>
            <w:r>
              <w:rPr>
                <w:rFonts w:ascii="Times New Roman" w:hAnsi="Times New Roman" w:eastAsia="Times New Roman"/>
                <w:sz w:val="16"/>
              </w:rPr>
              <w:t>Power × gender harassment cluster ranking concordance</w:t>
            </w:r>
          </w:p>
        </w:tc>
        <w:tc>
          <w:tcPr>
            <w:tcW w:type="dxa" w:w="2510"/>
          </w:tcPr>
          <w:p>
            <w:r>
              <w:rPr>
                <w:rFonts w:ascii="Times New Roman" w:hAnsi="Times New Roman" w:eastAsia="Times New Roman"/>
                <w:sz w:val="16"/>
              </w:rPr>
              <w:t>Weak concordance (Spearman ρ = 0.04 at 7-cluster level, p = 0.94; ρ = 0.14 at 14-cell level, p = 0.62)</w:t>
            </w:r>
          </w:p>
        </w:tc>
        <w:tc>
          <w:tcPr>
            <w:tcW w:type="dxa" w:w="2510"/>
          </w:tcPr>
          <w:p>
            <w:r>
              <w:rPr>
                <w:rFonts w:ascii="Times New Roman" w:hAnsi="Times New Roman" w:eastAsia="Times New Roman"/>
                <w:sz w:val="16"/>
              </w:rPr>
              <w:t>REJECTED</w:t>
            </w:r>
          </w:p>
        </w:tc>
      </w:tr>
      <w:tr>
        <w:tc>
          <w:tcPr>
            <w:tcW w:type="dxa" w:w="2510"/>
          </w:tcPr>
          <w:p>
            <w:r>
              <w:rPr>
                <w:rFonts w:ascii="Times New Roman" w:hAnsi="Times New Roman" w:eastAsia="Times New Roman"/>
                <w:sz w:val="16"/>
              </w:rPr>
              <w:t>H7</w:t>
            </w:r>
          </w:p>
        </w:tc>
        <w:tc>
          <w:tcPr>
            <w:tcW w:type="dxa" w:w="2510"/>
          </w:tcPr>
          <w:p>
            <w:r>
              <w:rPr>
                <w:rFonts w:ascii="Times New Roman" w:hAnsi="Times New Roman" w:eastAsia="Times New Roman"/>
                <w:sz w:val="16"/>
              </w:rPr>
              <w:t>IUT classification</w:t>
            </w:r>
          </w:p>
        </w:tc>
        <w:tc>
          <w:tcPr>
            <w:tcW w:type="dxa" w:w="2510"/>
          </w:tcPr>
          <w:p>
            <w:r>
              <w:rPr>
                <w:rFonts w:ascii="Times New Roman" w:hAnsi="Times New Roman" w:eastAsia="Times New Roman"/>
                <w:sz w:val="16"/>
              </w:rPr>
              <w:t>REVERSAL (robust across F = 0.3–1.0)</w:t>
            </w:r>
          </w:p>
        </w:tc>
        <w:tc>
          <w:tcPr>
            <w:tcW w:type="dxa" w:w="2510"/>
          </w:tcPr>
          <w:p>
            <w:r>
              <w:rPr>
                <w:rFonts w:ascii="Times New Roman" w:hAnsi="Times New Roman" w:eastAsia="Times New Roman"/>
                <w:sz w:val="16"/>
              </w:rPr>
              <w:t>REVERSAL (per pre-registered classification)</w:t>
            </w:r>
          </w:p>
        </w:tc>
      </w:tr>
    </w:tbl>
    <w:p>
      <w:pPr>
        <w:spacing w:line="240" w:lineRule="auto" w:before="0" w:after="0"/>
        <w:ind w:firstLine="180"/>
        <w:jc w:val="both"/>
      </w:pPr>
      <w:r>
        <w:rPr>
          <w:rFonts w:ascii="Times New Roman" w:hAnsi="Times New Roman" w:eastAsia="Times New Roman"/>
          <w:sz w:val="20"/>
        </w:rPr>
        <w:t>The headline empirical finding is the H7 = REVERSAL classification with cross-cultural robustness, which we develop substantively in the Discussion.</w:t>
      </w:r>
    </w:p>
    <w:p>
      <w:pPr>
        <w:spacing w:line="240" w:lineRule="auto" w:before="160" w:after="80"/>
        <w:jc w:val="center"/>
      </w:pPr>
      <w:r>
        <w:rPr>
          <w:rFonts w:ascii="Times New Roman" w:hAnsi="Times New Roman" w:eastAsia="Times New Roman"/>
          <w:b/>
          <w:sz w:val="18"/>
        </w:rPr>
        <w:t>IV. DISCUSSION</w:t>
      </w:r>
    </w:p>
    <w:p>
      <w:pPr>
        <w:spacing w:line="240" w:lineRule="auto" w:before="80" w:after="40"/>
      </w:pPr>
      <w:r>
        <w:rPr>
          <w:rFonts w:ascii="Times New Roman" w:hAnsi="Times New Roman" w:eastAsia="Times New Roman"/>
          <w:b/>
          <w:sz w:val="20"/>
        </w:rPr>
        <w:t>A. Principal findings</w:t>
      </w:r>
    </w:p>
    <w:p>
      <w:pPr>
        <w:spacing w:line="240" w:lineRule="auto" w:before="0" w:after="0"/>
        <w:ind w:firstLine="180"/>
        <w:jc w:val="both"/>
      </w:pPr>
      <w:r>
        <w:rPr>
          <w:rFonts w:ascii="Times New Roman" w:hAnsi="Times New Roman" w:eastAsia="Times New Roman"/>
          <w:sz w:val="20"/>
        </w:rPr>
        <w:t>Three findings stand out from the pre-registered analysis pipeline:</w:t>
      </w:r>
    </w:p>
    <w:p>
      <w:pPr>
        <w:spacing w:line="240" w:lineRule="auto" w:before="0" w:after="0"/>
        <w:ind w:firstLine="180"/>
        <w:jc w:val="both"/>
      </w:pPr>
      <w:r>
        <w:rPr>
          <w:rFonts w:ascii="Times New Roman" w:hAnsi="Times New Roman" w:eastAsia="Times New Roman"/>
          <w:sz w:val="20"/>
        </w:rPr>
        <w:t>Finding 1: Post-Power-Harassment-Prevention-Law prevalence is well predicted; pre-law is not. The model-based national prevalence (P̂ = 17.44%, after Statistics Bureau (MIC) 2022 working-population reweighting) attains MAPE = 9.65% against the FY2023 (post-law) target — a Standard SUCCESS classification (the 95% CI upper bound, 31.52%, narrowly exceeds the 30% Strict-criterion threshold) — but only PARTIAL SUCCESS against the FY2016 (pre-law) target (MAPE = 46.34%). A literal reading is that our HEXACO 7-typology × MIC-reweighted model captures the post-law equilibrium of Japanese workplaces with high accuracy, but not the pre-law equilibrium. We do not interpret the FY2016 PARTIAL classification as a model failure; rather, the temporal heterogeneity is consistent with the 2020 Power Harassment Prevention Law functioning as a discontinuous structural shock that altered the underlying environmental contribution to harassment prevalence. The N = 354 sample, collected post-law, is "calibrated" to the post-law environment.</w:t>
      </w:r>
    </w:p>
    <w:p>
      <w:pPr>
        <w:spacing w:line="240" w:lineRule="auto" w:before="0" w:after="0"/>
        <w:ind w:firstLine="180"/>
        <w:jc w:val="both"/>
      </w:pPr>
      <w:r>
        <w:rPr>
          <w:rFonts w:ascii="Times New Roman" w:hAnsi="Times New Roman" w:eastAsia="Times New Roman"/>
          <w:sz w:val="20"/>
        </w:rPr>
        <w:t>Finding 2: H7 = REVERSAL — the structural-intervention contrast exceeds the personality-intervention contrast in absolute magnitude. The pre-registered intersection-union test produced REVERSAL via the m7 priority-1 condition (point ΔP_B &lt; point ΔP_C; L_BC = −0.0544 also lies below zero in the CI cascade, providing CI-based corroboration of REVERSAL that does not rely on the ΔP_B point estimate, which is downgraded to exploratory under the m5 positivity rule), indicating that the cell-level structural-intervention contrast (Counterfactual C; −20% propensity, calibrated against three meta-analyses of organizational anti-harassment interventions and the MHLW FY2016–FY2023 −13.2-percentage-point natural-experiment-like decline) is larger in absolute magnitude than both the universal personality-intervention contrast (Counterfactual A; +0.3 SD on H/A/E) and the targeted personality-intervention contrast on the low-prevalence subgroup (Counterfactual B; +0.40 SD on HH restricted to individuals whose baseline cluster ∈ {0, 4, 6}). The numerical ratio |ΔP_C| / |ΔP_A| ≈ 5.7 is robust across all four pre-registered cultural-attenuation factors (F = 0.3, 0.5, 0.7, 1.0), including the conservative worst-case anchor at F = 0.3. We interpret this ordering conditional on the prior meta-analytic and natural-experiment effect sizes used to calibrate each counterfactual; under those calibrations, the structural-pathway contrast is approximately five-fold larger in absolute population-level magnitude than the personality-pathway contrast.</w:t>
      </w:r>
    </w:p>
    <w:p>
      <w:pPr>
        <w:spacing w:line="240" w:lineRule="auto" w:before="0" w:after="0"/>
        <w:ind w:firstLine="180"/>
        <w:jc w:val="both"/>
      </w:pPr>
      <w:r>
        <w:rPr>
          <w:rFonts w:ascii="Times New Roman" w:hAnsi="Times New Roman" w:eastAsia="Times New Roman"/>
          <w:sz w:val="20"/>
        </w:rPr>
        <w:t>Finding 3: The data are consistent with treating HEXACO 7-typology as a stratification variable rather than an intervention target. The Counterfactual A null result (ΔP_A = −0.0061, 95% CI crosses zero) indicates that shifting individual HEXACO scores by the realistic training-effect magnitudes drawn from Hudson and Fraley (2015) and Roberts et al. [20] does not produce a population-level harassment-prevalence change that is statistically distinguishable from zero in this design. A natural reading is that the typology characterizes which subgroups are differentially exposed to harassment in the present cross-sectional sample but does not, on its own, identify a personality-based target whose modification would yield measurable aggregate-level prevalence change at this calibration. The contribution of this finding is theoretical: it constrains the inferences that observational HEXACO–harassment associations support, distinguishing population-level prevalence change from subgroup-level identification.</w:t>
      </w:r>
    </w:p>
    <w:p>
      <w:pPr>
        <w:spacing w:line="240" w:lineRule="auto" w:before="80" w:after="40"/>
      </w:pPr>
      <w:r>
        <w:rPr>
          <w:rFonts w:ascii="Times New Roman" w:hAnsi="Times New Roman" w:eastAsia="Times New Roman"/>
          <w:b/>
          <w:sz w:val="20"/>
        </w:rPr>
        <w:t>B. The MHLW survey series as substantive context</w:t>
      </w:r>
    </w:p>
    <w:p>
      <w:pPr>
        <w:spacing w:line="240" w:lineRule="auto" w:before="0" w:after="0"/>
        <w:ind w:firstLine="180"/>
        <w:jc w:val="both"/>
      </w:pPr>
      <w:r>
        <w:rPr>
          <w:rFonts w:ascii="Times New Roman" w:hAnsi="Times New Roman" w:eastAsia="Times New Roman"/>
          <w:sz w:val="20"/>
        </w:rPr>
        <w:t>The FY2016 → FY2023 decline in past-three-year power-harassment victimization documented by MHLW (32.5% → 19.3%; −13.2 percentage points) overlaps temporally with the staged enforcement of the 2020 Power Harassment Prevention Law (large enterprises, June 2020; SMEs, April 2022). Two stylized explanations for this decline are: (a) the regulatory environment shifted in ways that reduced harassment-supportive environmental affordances; or (b) the underlying personality distribution of Japanese workers shifted between 2016 and 2023.</w:t>
      </w:r>
    </w:p>
    <w:p>
      <w:pPr>
        <w:spacing w:line="240" w:lineRule="auto" w:before="0" w:after="0"/>
        <w:ind w:firstLine="180"/>
        <w:jc w:val="both"/>
      </w:pPr>
      <w:r>
        <w:rPr>
          <w:rFonts w:ascii="Times New Roman" w:hAnsi="Times New Roman" w:eastAsia="Times New Roman"/>
          <w:sz w:val="20"/>
        </w:rPr>
        <w:t>The latter is implausible on demographic grounds: cohort-level changes in HEXACO traits over six years are unlikely to exceed 0.05 SD. Counterfactual A, which models a six times larger personality shift (+0.3 SD on H/A/E), produced a null effect at the population level. The MHLW decline is therefore difficult to reconcile with personality drift alone. We refrain from claiming a formal causal estimate of the law's effect, because doing so would require a counterfactual design with explicit treatment timing, control units, and parallel-trends analysis that the present cross-sectional sample does not support. Instead, we treat the MHLW series as providing substantive context within which our pre-registered comparison of intervention contrasts can be interpreted.</w:t>
      </w:r>
    </w:p>
    <w:p>
      <w:pPr>
        <w:spacing w:line="240" w:lineRule="auto" w:before="80" w:after="40"/>
      </w:pPr>
      <w:r>
        <w:rPr>
          <w:rFonts w:ascii="Times New Roman" w:hAnsi="Times New Roman" w:eastAsia="Times New Roman"/>
          <w:b/>
          <w:sz w:val="20"/>
        </w:rPr>
        <w:t>C. Reframing HEXACO: stratification rather than modification</w:t>
      </w:r>
    </w:p>
    <w:p>
      <w:pPr>
        <w:spacing w:line="240" w:lineRule="auto" w:before="0" w:after="0"/>
        <w:ind w:firstLine="180"/>
        <w:jc w:val="both"/>
      </w:pPr>
      <w:r>
        <w:rPr>
          <w:rFonts w:ascii="Times New Roman" w:hAnsi="Times New Roman" w:eastAsia="Times New Roman"/>
          <w:sz w:val="20"/>
        </w:rPr>
        <w:t>A reframing emerges from the integrated reading of Counterfactual A's null and Counterfactual C's positive contrast. Observational findings of the form "low Honesty-Humility correlates with workplace harassment exposure" are sometimes read as supporting a prescription: train individuals to elevate their Honesty-Humility, or screen them on this dimension at hiring. The present results constrain that reading on two grounds.</w:t>
      </w:r>
    </w:p>
    <w:p>
      <w:pPr>
        <w:spacing w:line="240" w:lineRule="auto" w:before="0" w:after="0"/>
        <w:ind w:firstLine="180"/>
        <w:jc w:val="both"/>
      </w:pPr>
      <w:r>
        <w:rPr>
          <w:rFonts w:ascii="Times New Roman" w:hAnsi="Times New Roman" w:eastAsia="Times New Roman"/>
          <w:sz w:val="20"/>
        </w:rPr>
        <w:t>First, observational correlation between HEXACO-H and harassment exposure is consistent with at least four causal models: direct causation (M1), selection (M2), confounding (M3), and reverse causation (M4). Our Counterfactual A null result is inconsistent with M1 as the dominant mechanism but cannot adjudicate among M2–M4. Under any of those three, modifying individuals' HEXACO scores would not modify the underlying mechanism (industry sorting, shared SES correlates, or cynicism induced by prior harassment exposure).</w:t>
      </w:r>
    </w:p>
    <w:p>
      <w:pPr>
        <w:spacing w:line="240" w:lineRule="auto" w:before="0" w:after="0"/>
        <w:ind w:firstLine="180"/>
        <w:jc w:val="both"/>
      </w:pPr>
      <w:r>
        <w:rPr>
          <w:rFonts w:ascii="Times New Roman" w:hAnsi="Times New Roman" w:eastAsia="Times New Roman"/>
          <w:sz w:val="20"/>
        </w:rPr>
        <w:t>Second, even granting M1 as the operative mechanism, the +0.3 SD personality-shift represents the upper bound of empirically demonstrated training effects [19], [20]. The simulation shows that this upper-bound shift translates to a population-level prevalence change of −0.61 percentage points — within the ±2 pp band of MHLW year-on-year sampling noise and approximately five-fold smaller in absolute magnitude than the structural-intervention contrast.</w:t>
      </w:r>
    </w:p>
    <w:p>
      <w:pPr>
        <w:spacing w:line="240" w:lineRule="auto" w:before="0" w:after="0"/>
        <w:ind w:firstLine="180"/>
        <w:jc w:val="both"/>
      </w:pPr>
      <w:r>
        <w:rPr>
          <w:rFonts w:ascii="Times New Roman" w:hAnsi="Times New Roman" w:eastAsia="Times New Roman"/>
          <w:sz w:val="20"/>
        </w:rPr>
        <w:t>The repositioning we draw is therefore narrow and theoretical: the HEXACO 7-typology functions in this analysis as a stratification lens that characterizes differentially exposed subpopulations; the structural-intervention contrast in Counterfactual C is, by construction, applied uniformly across all 14 cells (cell-level propensities are multiplied by 0.80 with no cell-specific attenuation), so no subgroup is differentially excluded from the contrast at the analytic level. The data do not support reading the typology itself as a target of individual-level intervention. A corollary is that observational HEXACO–harassment associations are not, on their own, sufficient grounds for inferences about who "should" be modified or screened; we therefore caution against interpretations that read the typology in person-blame terms, because such readings outrun what the present analysis can support. The empirical question of whether real-world structural interventions exhibit cell-specific efficacy is left open and is flagged separately in the heterogeneity limitation below.</w:t>
      </w:r>
    </w:p>
    <w:p>
      <w:pPr>
        <w:spacing w:line="240" w:lineRule="auto" w:before="80" w:after="40"/>
      </w:pPr>
      <w:r>
        <w:rPr>
          <w:rFonts w:ascii="Times New Roman" w:hAnsi="Times New Roman" w:eastAsia="Times New Roman"/>
          <w:b/>
          <w:sz w:val="20"/>
        </w:rPr>
        <w:t>D. Limitations</w:t>
      </w:r>
    </w:p>
    <w:p>
      <w:pPr>
        <w:spacing w:line="240" w:lineRule="auto" w:before="40" w:after="40"/>
      </w:pPr>
      <w:r>
        <w:rPr>
          <w:rFonts w:ascii="Times New Roman" w:hAnsi="Times New Roman" w:eastAsia="Times New Roman"/>
          <w:b/>
          <w:i/>
          <w:sz w:val="20"/>
        </w:rPr>
        <w:t>1) Reduced-form framing of Counterfactual C:</w:t>
      </w:r>
    </w:p>
    <w:p>
      <w:pPr>
        <w:spacing w:line="240" w:lineRule="auto" w:before="0" w:after="0"/>
        <w:ind w:firstLine="180"/>
        <w:jc w:val="both"/>
      </w:pPr>
      <w:r>
        <w:rPr>
          <w:rFonts w:ascii="Times New Roman" w:hAnsi="Times New Roman" w:eastAsia="Times New Roman"/>
          <w:sz w:val="20"/>
        </w:rPr>
        <w:t>The most important limitation, identified through dialogue with an external methodologist, concerns the reduced-form nature of Counterfactual C. Operationally, Counterfactual C reduces cell-level propensity by 20% uniformly, leaving HEXACO scores and cluster memberships unchanged. This is a population-level statistical translation of structural change; the simulation does not endogenously model the psychological mechanisms — deterrence, perceived reporting risk, social cost, peer monitoring — through which institutional intervention actually reduces harassment behavior.</w:t>
      </w:r>
    </w:p>
    <w:p>
      <w:pPr>
        <w:spacing w:line="240" w:lineRule="auto" w:before="0" w:after="0"/>
        <w:ind w:firstLine="180"/>
        <w:jc w:val="both"/>
      </w:pPr>
      <w:r>
        <w:rPr>
          <w:rFonts w:ascii="Times New Roman" w:hAnsi="Times New Roman" w:eastAsia="Times New Roman"/>
          <w:sz w:val="20"/>
        </w:rPr>
        <w:t>The simulation's contribution is therefore narrower than a mechanistic claim: it provides an apples-to-apples translation of prior meta-analytic effect sizes for structural interventions [5], [21], [22] (calibrated against MHLW 2020 Law natural experiment) into the same population-level prevalence metric used for the personality intervention [20] (calibrated against Hudson &amp; Fraley, 2015). The conclusion |ΔP_C| ≫ |ΔP_A| is conditional on these prior effect-size estimates being unbiased.</w:t>
      </w:r>
    </w:p>
    <w:p>
      <w:pPr>
        <w:spacing w:line="240" w:lineRule="auto" w:before="0" w:after="0"/>
        <w:ind w:firstLine="180"/>
        <w:jc w:val="both"/>
      </w:pPr>
      <w:r>
        <w:rPr>
          <w:rFonts w:ascii="Times New Roman" w:hAnsi="Times New Roman" w:eastAsia="Times New Roman"/>
          <w:sz w:val="20"/>
        </w:rPr>
        <w:t>A mechanistically richer extension would adopt agent-based modeling [32], [33] with explicit deterrence dynamics, individual-level perceived risk, and interaction with peers. Such extensions are beyond the scope of v2.0 pre-registration but are pre-flagged as Phase 2 follow-up work in the present manuscript.</w:t>
      </w:r>
    </w:p>
    <w:p>
      <w:pPr>
        <w:spacing w:line="240" w:lineRule="auto" w:before="40" w:after="40"/>
      </w:pPr>
      <w:r>
        <w:rPr>
          <w:rFonts w:ascii="Times New Roman" w:hAnsi="Times New Roman" w:eastAsia="Times New Roman"/>
          <w:b/>
          <w:i/>
          <w:sz w:val="20"/>
        </w:rPr>
        <w:t>2) Causal under-identification among M2/M3/M4:</w:t>
      </w:r>
    </w:p>
    <w:p>
      <w:pPr>
        <w:spacing w:line="240" w:lineRule="auto" w:before="0" w:after="0"/>
        <w:ind w:firstLine="180"/>
        <w:jc w:val="both"/>
      </w:pPr>
      <w:r>
        <w:rPr>
          <w:rFonts w:ascii="Times New Roman" w:hAnsi="Times New Roman" w:eastAsia="Times New Roman"/>
          <w:sz w:val="20"/>
        </w:rPr>
        <w:t>Our analysis is inconsistent with M1 (direct personality-causation of harassment) as the dominant mechanism but cannot distinguish among M2 (selection into harassment-prone environments), M3 (confounding via SES/educational/economic factors), or M4 (reverse causation: harassment depresses HEXACO-H scores via cynicism). Each of M2–M4 is consistent with our Counterfactual A null result. Identification would require either: (a) an exogenous shock or instrumental variable affecting HEXACO scores independent of harassment exposure; (b) a longitudinal design with pre-employment HEXACO measurement; or (c) a sibling/twin-controlled design. None of these is feasible within the present cross-sectional preregistration. Consequently, the substantive interpretation of the low-HH–harassment association is left open at the level of mechanism, while the substantive ordering reported here (structural-pathway contrast dominates personality-pathway contrast in absolute magnitude under the calibrated effect sizes) is unaffected.</w:t>
      </w:r>
    </w:p>
    <w:p>
      <w:pPr>
        <w:spacing w:line="240" w:lineRule="auto" w:before="40" w:after="40"/>
      </w:pPr>
      <w:r>
        <w:rPr>
          <w:rFonts w:ascii="Times New Roman" w:hAnsi="Times New Roman" w:eastAsia="Times New Roman"/>
          <w:b/>
          <w:i/>
          <w:sz w:val="20"/>
        </w:rPr>
        <w:t>3) Heterogeneity in counterfactual response:</w:t>
      </w:r>
    </w:p>
    <w:p>
      <w:pPr>
        <w:spacing w:line="240" w:lineRule="auto" w:before="0" w:after="0"/>
        <w:ind w:firstLine="180"/>
        <w:jc w:val="both"/>
      </w:pPr>
      <w:r>
        <w:rPr>
          <w:rFonts w:ascii="Times New Roman" w:hAnsi="Times New Roman" w:eastAsia="Times New Roman"/>
          <w:sz w:val="20"/>
        </w:rPr>
        <w:t>Counterfactual C is operationalized as a uniform 20% reduction across all 14 cells. In reality, structural interventions plausibly differ in efficacy across HEXACO 7-typology × gender combinations: cell-specific intervention effects could amplify or attenuate the global average. Our analysis does not estimate cell-specific intervention efficacy. A natural extension is to allow ΔP_C to vary by cell, parameterized as a multiplicative factor F_c per cell, and to estimate F_c via auxiliary data (e.g., MHLW industry × gender breakdowns of intervention adoption).</w:t>
      </w:r>
    </w:p>
    <w:p>
      <w:pPr>
        <w:spacing w:line="240" w:lineRule="auto" w:before="40" w:after="40"/>
      </w:pPr>
      <w:r>
        <w:rPr>
          <w:rFonts w:ascii="Times New Roman" w:hAnsi="Times New Roman" w:eastAsia="Times New Roman"/>
          <w:b/>
          <w:i/>
          <w:sz w:val="20"/>
        </w:rPr>
        <w:t>4) Static framing:</w:t>
      </w:r>
    </w:p>
    <w:p>
      <w:pPr>
        <w:spacing w:line="240" w:lineRule="auto" w:before="0" w:after="0"/>
        <w:ind w:firstLine="180"/>
        <w:jc w:val="both"/>
      </w:pPr>
      <w:r>
        <w:rPr>
          <w:rFonts w:ascii="Times New Roman" w:hAnsi="Times New Roman" w:eastAsia="Times New Roman"/>
          <w:sz w:val="20"/>
        </w:rPr>
        <w:t>The simulation produces a single population-level snapshot under each counterfactual; it does not model dynamic effects such as institutional erosion (intervention efficacy decay over time), behavioral adaptation (perpetrator response), or composition change (workforce HEXACO drift). Stage 8's transportability factor sweep partially addresses this concern by stress-testing the conclusion against attenuation, but a fully dynamic agent-based extension is required for endogenous modeling of these mechanisms.</w:t>
      </w:r>
    </w:p>
    <w:p>
      <w:pPr>
        <w:spacing w:line="240" w:lineRule="auto" w:before="40" w:after="40"/>
      </w:pPr>
      <w:r>
        <w:rPr>
          <w:rFonts w:ascii="Times New Roman" w:hAnsi="Times New Roman" w:eastAsia="Times New Roman"/>
          <w:b/>
          <w:i/>
          <w:sz w:val="20"/>
        </w:rPr>
        <w:t>5) m8 limitation: cluster proportions M3-fixed:</w:t>
      </w:r>
    </w:p>
    <w:p>
      <w:pPr>
        <w:spacing w:line="240" w:lineRule="auto" w:before="0" w:after="0"/>
        <w:ind w:firstLine="180"/>
        <w:jc w:val="both"/>
      </w:pPr>
      <w:r>
        <w:rPr>
          <w:rFonts w:ascii="Times New Roman" w:hAnsi="Times New Roman" w:eastAsia="Times New Roman"/>
          <w:sz w:val="20"/>
        </w:rPr>
        <w:t>Per Methods Clarification m8, the 7-cluster proportions used in Stage 1 reweighting remain fixed at the Tokiwa [13] values for N = 13,668; only the gender marginal is updated to the Statistics Bureau (MIC) 2022 working-population value. This is a conscious limitation: the Labor Force Survey does not capture HEXACO cluster membership, so the cluster proportions cannot be updated. The OAT sensitivity sweep over cluster mass shifts (Results — Sensitivity sweep) shows that the H1 conclusion depends on the cluster proportions, with MAPE ranging from 34.55% (favorable composition) to 56.47% (unfavorable). We disclose this dependency explicitly and recommend that future Phase 2 work integrate larger-sample HEXACO surveys (e.g., the JLPS panel) to relax this constraint.</w:t>
      </w:r>
    </w:p>
    <w:p>
      <w:pPr>
        <w:spacing w:line="240" w:lineRule="auto" w:before="40" w:after="40"/>
      </w:pPr>
      <w:r>
        <w:rPr>
          <w:rFonts w:ascii="Times New Roman" w:hAnsi="Times New Roman" w:eastAsia="Times New Roman"/>
          <w:b/>
          <w:i/>
          <w:sz w:val="20"/>
        </w:rPr>
        <w:t>6) Sample-size and external-validity caveats:</w:t>
      </w:r>
    </w:p>
    <w:p>
      <w:pPr>
        <w:spacing w:line="240" w:lineRule="auto" w:before="0" w:after="0"/>
        <w:ind w:firstLine="180"/>
        <w:jc w:val="both"/>
      </w:pPr>
      <w:r>
        <w:rPr>
          <w:rFonts w:ascii="Times New Roman" w:hAnsi="Times New Roman" w:eastAsia="Times New Roman"/>
          <w:sz w:val="20"/>
        </w:rPr>
        <w:t>The N = 354 individual-level harassment sample is demographically heterogeneous within Japan but does not match the MHLW survey's sampling frame perfectly. The cell sizes range from 10 to 70 (median 18); some cells contribute weakly to per-cell propensity precision. The sensitivity sweep over EB shrinkage scale (Results — Sensitivity sweep) confirms that estimates are robust to alternative shrinkage strengths, but precision could be improved with larger samples. We have refrained from pooling additional samples to preserve pre-registration integrity; future replication studies are encouraged.</w:t>
      </w:r>
    </w:p>
    <w:p>
      <w:pPr>
        <w:spacing w:line="240" w:lineRule="auto" w:before="80" w:after="40"/>
      </w:pPr>
      <w:r>
        <w:rPr>
          <w:rFonts w:ascii="Times New Roman" w:hAnsi="Times New Roman" w:eastAsia="Times New Roman"/>
          <w:b/>
          <w:sz w:val="20"/>
        </w:rPr>
        <w:t>E. Research implications</w:t>
      </w:r>
    </w:p>
    <w:p>
      <w:pPr>
        <w:spacing w:line="240" w:lineRule="auto" w:before="0" w:after="0"/>
        <w:ind w:firstLine="180"/>
        <w:jc w:val="both"/>
      </w:pPr>
      <w:r>
        <w:rPr>
          <w:rFonts w:ascii="Times New Roman" w:hAnsi="Times New Roman" w:eastAsia="Times New Roman"/>
          <w:sz w:val="20"/>
        </w:rPr>
        <w:t>The integrated findings carry three implications for subsequent research, framed at the level of theory and empirical priority rather than as prescriptive recommendations to any particular institution.</w:t>
      </w:r>
    </w:p>
    <w:p>
      <w:pPr>
        <w:pStyle w:val="ListBullet"/>
        <w:spacing w:line="240" w:lineRule="auto" w:before="0" w:after="0"/>
        <w:jc w:val="both"/>
      </w:pPr>
      <w:r>
        <w:rPr>
          <w:rFonts w:ascii="Times New Roman" w:hAnsi="Times New Roman" w:eastAsia="Times New Roman"/>
          <w:sz w:val="20"/>
        </w:rPr>
        <w:t>Calibrated counterfactual comparison as a methodological template. When two intervention pathways are debated at the level of population-level efficacy but each is supported by a separate, non-comparable evidence base (training-effect meta-analyses on the personality side; organizational-intervention meta-analyses on the structural side), a microsimulation that propagates each effect-size calibration through a common population denominator provides an apples-to-apples comparison metric. The present study illustrates this template for the HEXACO–harassment context; analogous applications to other trait–outcome dyads (e.g., conscientiousness–performance, emotional stability–burnout) are a natural extension.</w:t>
      </w:r>
    </w:p>
    <w:p>
      <w:pPr>
        <w:pStyle w:val="ListBullet"/>
        <w:spacing w:line="240" w:lineRule="auto" w:before="0" w:after="0"/>
        <w:jc w:val="both"/>
      </w:pPr>
      <w:r>
        <w:rPr>
          <w:rFonts w:ascii="Times New Roman" w:hAnsi="Times New Roman" w:eastAsia="Times New Roman"/>
          <w:sz w:val="20"/>
        </w:rPr>
        <w:t>Identification limits of HEXACO-based screening as an empirical question. The use of HEXACO scores in pre-employment screening to predict harassment-related risk presupposes a direct-causation reading of HEXACO–harassment associations that the present null result for Counterfactual A does not support. Because our analysis cannot adjudicate among selection (M2), confounding (M3), and reverse causation (M4), the screening question remains underdetermined and would benefit from longitudinal designs with pre-employment HEXACO measurement, sibling/twin-controlled designs, or instrumental-variable approaches.</w:t>
      </w:r>
    </w:p>
    <w:p>
      <w:pPr>
        <w:pStyle w:val="ListBullet"/>
        <w:spacing w:line="240" w:lineRule="auto" w:before="0" w:after="0"/>
        <w:jc w:val="both"/>
      </w:pPr>
      <w:r>
        <w:rPr>
          <w:rFonts w:ascii="Times New Roman" w:hAnsi="Times New Roman" w:eastAsia="Times New Roman"/>
          <w:sz w:val="20"/>
        </w:rPr>
        <w:t>Structural-intervention efficacy as a heterogeneity question. Counterfactual C is operationalized as a uniform 20% reduction across all 14 cells. A natural empirical extension is to estimate cell-specific structural-intervention efficacy F_c using auxiliary data linking adoption of organizational reforms to harassment-prevalence change, allowing the global ordering reported here to be refined into subgroup-specific estimates. Such estimates would also inform the substantive interpretation of the MHLW FY2016 → FY2023 decline, which the present design treats as substantive context rather than as a formal causal estimand.</w:t>
      </w:r>
    </w:p>
    <w:p>
      <w:pPr>
        <w:spacing w:line="240" w:lineRule="auto" w:before="160" w:after="80"/>
        <w:jc w:val="center"/>
      </w:pPr>
      <w:r>
        <w:rPr>
          <w:rFonts w:ascii="Times New Roman" w:hAnsi="Times New Roman" w:eastAsia="Times New Roman"/>
          <w:b/>
          <w:sz w:val="18"/>
        </w:rPr>
        <w:t>V. CONCLUSION</w:t>
      </w:r>
    </w:p>
    <w:p>
      <w:pPr>
        <w:spacing w:line="240" w:lineRule="auto" w:before="0" w:after="0"/>
        <w:ind w:firstLine="180"/>
        <w:jc w:val="both"/>
      </w:pPr>
      <w:r>
        <w:rPr>
          <w:rFonts w:ascii="Times New Roman" w:hAnsi="Times New Roman" w:eastAsia="Times New Roman"/>
          <w:sz w:val="20"/>
        </w:rPr>
        <w:t>We pre-registered and executed a HEXACO 7-typology workplace-harassment microsimulation that emulates a target trial of three counterfactual interventions in Japan. The null contrasts for the personality-intervention counterfactuals (ΔP_A = −0.0061 and ΔP_B = −0.0059, both with 95% CIs crossing zero) and the positive contrast for the structural-intervention counterfactual (ΔP_C = +0.0349, 95% CI excluding zero), together with the H7 IUT classification of REVERSAL across all four pre-registered cultural-attenuation factors, indicate that — under the prior meta-analytic effect sizes from which each counterfactual was calibrated — the absolute population-level magnitude of the structural-pathway contrast exceeds that of the personality-pathway contrast by approximately five-fold. The MHLW FY2016 → FY2023 13.2 pp decline provides substantive context for this ordering rather than a formal causal estimand. We argue, narrowly, that the analysis is consistent with treating HEXACO 7-typology as a stratification lens identifying differentially exposed subpopulations rather than as a target for individual-level intervention, and we caution against interpretations that outrun this evidence. All code, data, and intermediate artifacts are publicly available under MIT license; full reproducibility is verified via SHA-256 hash comparison against the v2.0 OSF registration.</w:t>
      </w:r>
    </w:p>
    <w:p>
      <w:pPr>
        <w:spacing w:line="240" w:lineRule="auto" w:before="160" w:after="80"/>
        <w:jc w:val="center"/>
      </w:pPr>
      <w:r>
        <w:rPr>
          <w:rFonts w:ascii="Times New Roman" w:hAnsi="Times New Roman" w:eastAsia="Times New Roman"/>
          <w:b/>
          <w:sz w:val="18"/>
        </w:rPr>
        <w:t>ACKNOWLEDGMENT</w:t>
      </w:r>
    </w:p>
    <w:p>
      <w:pPr>
        <w:spacing w:line="240" w:lineRule="auto" w:before="0" w:after="0"/>
        <w:jc w:val="both"/>
      </w:pPr>
      <w:r>
        <w:rPr>
          <w:rFonts w:ascii="Times New Roman" w:hAnsi="Times New Roman" w:eastAsia="Times New Roman"/>
          <w:sz w:val="20"/>
        </w:rPr>
        <w:t xml:space="preserve">The author thanks the anonymous external methodologist (mode B; mathematical biology background) whose review memo led to the Section 6.5 Level 1 Methods Clarifications Log, and the N = 354 survey respondents whose anonymized data made this analysis possible. </w:t>
      </w:r>
      <w:r>
        <w:rPr>
          <w:rFonts w:ascii="Times New Roman" w:hAnsi="Times New Roman" w:eastAsia="Times New Roman"/>
          <w:i/>
          <w:sz w:val="20"/>
        </w:rPr>
        <w:t xml:space="preserve">Competing Interests: The author discloses the following potential competing interest: the author is the founder and representative of SUNBLAZE Co., Ltd. (Tokyo, Japan), which provides HEXACO-JP, a proprietary Japanese-language HEXACO-based personality assessment service. The present study does not use HEXACO-JP; the HEXACO instrument used here is the HEXACO-PI-R Japanese 60-item adaptation published by Wakabayashi (2014), a separately validated and openly cited instrument that predates and is independent of HEXACO-JP. The manuscript does not reference, evaluate, market, recommend, or otherwise promote HEXACO-JP or any other SUNBLAZE product or service, and the headline empirical findings (a null personality-intervention contrast and a positive structural-intervention contrast) do not differentially favor commercial HEXACO-based assessment products. </w:t>
      </w:r>
      <w:r>
        <w:rPr>
          <w:rFonts w:ascii="Times New Roman" w:hAnsi="Times New Roman" w:eastAsia="Times New Roman"/>
          <w:i/>
          <w:sz w:val="20"/>
        </w:rPr>
        <w:t xml:space="preserve">Ethics statement: The N = 354 individual-level harassment data re-analyzed in this study were originally collected under an IRB-approved protocol described in [29]; the present secondary analysis of de-identified records does not require additional ethics review. </w:t>
      </w:r>
      <w:r>
        <w:rPr>
          <w:rFonts w:ascii="Times New Roman" w:hAnsi="Times New Roman" w:eastAsia="Times New Roman"/>
          <w:i/>
          <w:sz w:val="20"/>
        </w:rPr>
        <w:t xml:space="preserve">Data availability: Public-tier supplementary artifacts (Stage 0–8 HDF5, Figures 1–6 in PNG/PDF/SVG, canonical numerical record, SHA-256 reference hashes) are openly available at the v2.0 OSF working project (osf.io/3hxz6, v2.0/v2.0_supplementary.tar.gz). The N = 354 individual-level dataset is governed by the IRB-approved data-sharing protocol and hosted in a Private OSF component with a documented Request-Access mechanism (osf.io/3hxz6/wiki/home/). </w:t>
      </w:r>
      <w:r>
        <w:rPr>
          <w:rFonts w:ascii="Times New Roman" w:hAnsi="Times New Roman" w:eastAsia="Times New Roman"/>
          <w:i/>
          <w:sz w:val="20"/>
        </w:rPr>
        <w:t>AI use disclosure: Generative AI (Anthropic Claude) was used as a drafting and code-review assistant; all final claims, derivations, and statistical conclusions are the author's responsibility.</w:t>
      </w:r>
    </w:p>
    <w:p>
      <w:pPr>
        <w:spacing w:line="240" w:lineRule="auto" w:before="160" w:after="80"/>
        <w:jc w:val="center"/>
      </w:pPr>
      <w:r>
        <w:rPr>
          <w:rFonts w:ascii="Times New Roman" w:hAnsi="Times New Roman" w:eastAsia="Times New Roman"/>
          <w:b/>
          <w:sz w:val="18"/>
        </w:rPr>
        <w:t>REFERENCES</w:t>
      </w:r>
    </w:p>
    <w:p>
      <w:pPr>
        <w:spacing w:line="240" w:lineRule="auto" w:before="0" w:after="40"/>
        <w:jc w:val="both"/>
      </w:pPr>
      <w:r>
        <w:rPr>
          <w:rFonts w:ascii="Times New Roman" w:hAnsi="Times New Roman" w:eastAsia="Times New Roman"/>
          <w:b/>
          <w:sz w:val="18"/>
        </w:rPr>
        <w:t xml:space="preserve">[1] </w:t>
      </w:r>
      <w:r>
        <w:rPr>
          <w:rFonts w:ascii="Times New Roman" w:hAnsi="Times New Roman" w:eastAsia="Times New Roman"/>
          <w:sz w:val="16"/>
        </w:rPr>
        <w:t>M. S. Hershcovis and J. Barling, "Towards a multi-foci approach to workplace aggression: A meta-analytic review of outcomes from different perpetrators," J. Organ. Behav., vol. 31, no. 1, pp. 24–44, 2010, doi: 10.1002/job.621.</w:t>
      </w:r>
    </w:p>
    <w:p>
      <w:pPr>
        <w:spacing w:line="240" w:lineRule="auto" w:before="0" w:after="40"/>
        <w:jc w:val="both"/>
      </w:pPr>
      <w:r>
        <w:rPr>
          <w:rFonts w:ascii="Times New Roman" w:hAnsi="Times New Roman" w:eastAsia="Times New Roman"/>
          <w:b/>
          <w:sz w:val="18"/>
        </w:rPr>
        <w:t xml:space="preserve">[2] </w:t>
      </w:r>
      <w:r>
        <w:rPr>
          <w:rFonts w:ascii="Times New Roman" w:hAnsi="Times New Roman" w:eastAsia="Times New Roman"/>
          <w:sz w:val="16"/>
        </w:rPr>
        <w:t>D. Salin, "Ways of explaining workplace bullying: A review of enabling, motivating and precipitating structures and processes in the work environment," Hum. Relat., vol. 56, no. 10, pp. 1213–1232, 2003, doi: 10.1177/00187267035610003.</w:t>
      </w:r>
    </w:p>
    <w:p>
      <w:pPr>
        <w:spacing w:line="240" w:lineRule="auto" w:before="0" w:after="40"/>
        <w:jc w:val="both"/>
      </w:pPr>
      <w:r>
        <w:rPr>
          <w:rFonts w:ascii="Times New Roman" w:hAnsi="Times New Roman" w:eastAsia="Times New Roman"/>
          <w:b/>
          <w:sz w:val="18"/>
        </w:rPr>
        <w:t xml:space="preserve">[3] </w:t>
      </w:r>
      <w:r>
        <w:rPr>
          <w:rFonts w:ascii="Times New Roman" w:hAnsi="Times New Roman" w:eastAsia="Times New Roman"/>
          <w:sz w:val="16"/>
        </w:rPr>
        <w:t>Ministry of Health, Labour and Welfare (MHLW), "Workplace harassment surveys: H28 / R2 / R5 results [Original report in Japanese]," 2017, 2021, 2024. [Online]. Available: https://www.mhlw.go.jp/</w:t>
      </w:r>
    </w:p>
    <w:p>
      <w:pPr>
        <w:spacing w:line="240" w:lineRule="auto" w:before="0" w:after="40"/>
        <w:jc w:val="both"/>
      </w:pPr>
      <w:r>
        <w:rPr>
          <w:rFonts w:ascii="Times New Roman" w:hAnsi="Times New Roman" w:eastAsia="Times New Roman"/>
          <w:b/>
          <w:sz w:val="18"/>
        </w:rPr>
        <w:t xml:space="preserve">[4] </w:t>
      </w:r>
      <w:r>
        <w:rPr>
          <w:rFonts w:ascii="Times New Roman" w:hAnsi="Times New Roman" w:eastAsia="Times New Roman"/>
          <w:sz w:val="16"/>
        </w:rPr>
        <w:t>E. G. Mikkelsen, Å. M. Hansen, R. Persson, M. F. Byrgesen, and A. Hogh, "Individual consequences of being exposed to workplace bullying," in Bullying and Harassment in the Workplace: Theory, Research and Practice, 3rd ed., S. Einarsen, H. Hoel, D. Zapf, and C. L. Cooper, Eds. Boca Raton, FL: CRC Press, 2020, pp. 163–208, doi: 10.1201/9780429462528-6.</w:t>
      </w:r>
    </w:p>
    <w:p>
      <w:pPr>
        <w:spacing w:line="240" w:lineRule="auto" w:before="0" w:after="40"/>
        <w:jc w:val="both"/>
      </w:pPr>
      <w:r>
        <w:rPr>
          <w:rFonts w:ascii="Times New Roman" w:hAnsi="Times New Roman" w:eastAsia="Times New Roman"/>
          <w:b/>
          <w:sz w:val="18"/>
        </w:rPr>
        <w:t xml:space="preserve">[5] </w:t>
      </w:r>
      <w:r>
        <w:rPr>
          <w:rFonts w:ascii="Times New Roman" w:hAnsi="Times New Roman" w:eastAsia="Times New Roman"/>
          <w:sz w:val="16"/>
        </w:rPr>
        <w:t>D. Salin, "Workplace bullying and gender: An overview of empirical findings," in Dignity and Inclusion at Work: Handbooks of Workplace Bullying, Emotional Abuse and Harassment, vol. 3, P. D'Cruz et al., Eds. Singapore: Springer, 2021, pp. 331–361, doi: 10.1007/978-981-13-0218-3_12.</w:t>
      </w:r>
    </w:p>
    <w:p>
      <w:pPr>
        <w:spacing w:line="240" w:lineRule="auto" w:before="0" w:after="40"/>
        <w:jc w:val="both"/>
      </w:pPr>
      <w:r>
        <w:rPr>
          <w:rFonts w:ascii="Times New Roman" w:hAnsi="Times New Roman" w:eastAsia="Times New Roman"/>
          <w:b/>
          <w:sz w:val="18"/>
        </w:rPr>
        <w:t xml:space="preserve">[6] </w:t>
      </w:r>
      <w:r>
        <w:rPr>
          <w:rFonts w:ascii="Times New Roman" w:hAnsi="Times New Roman" w:eastAsia="Times New Roman"/>
          <w:sz w:val="16"/>
        </w:rPr>
        <w:t>M. B. Nielsen, L. Glasø, and S. Einarsen, "Exposure to workplace harassment and the Five Factor Model of personality: A meta-analysis," Pers. Individ. Differ., vol. 104, pp. 195–206, 2017, doi: 10.1016/j.paid.2016.08.015.</w:t>
      </w:r>
    </w:p>
    <w:p>
      <w:pPr>
        <w:spacing w:line="240" w:lineRule="auto" w:before="0" w:after="40"/>
        <w:jc w:val="both"/>
      </w:pPr>
      <w:r>
        <w:rPr>
          <w:rFonts w:ascii="Times New Roman" w:hAnsi="Times New Roman" w:eastAsia="Times New Roman"/>
          <w:b/>
          <w:sz w:val="18"/>
        </w:rPr>
        <w:t xml:space="preserve">[7] </w:t>
      </w:r>
      <w:r>
        <w:rPr>
          <w:rFonts w:ascii="Times New Roman" w:hAnsi="Times New Roman" w:eastAsia="Times New Roman"/>
          <w:sz w:val="16"/>
        </w:rPr>
        <w:t>I. Pilch and E. Turska, "Relationships between Machiavellianism, organizational culture, and workplace bullying: Emotional abuse from the target's and the perpetrator's perspective," J. Bus. Ethics, vol. 128, no. 1, pp. 83–93, 2015, doi: 10.1007/s10551-014-2081-3.</w:t>
      </w:r>
    </w:p>
    <w:p>
      <w:pPr>
        <w:spacing w:line="240" w:lineRule="auto" w:before="0" w:after="40"/>
        <w:jc w:val="both"/>
      </w:pPr>
      <w:r>
        <w:rPr>
          <w:rFonts w:ascii="Times New Roman" w:hAnsi="Times New Roman" w:eastAsia="Times New Roman"/>
          <w:b/>
          <w:sz w:val="18"/>
        </w:rPr>
        <w:t xml:space="preserve">[8] </w:t>
      </w:r>
      <w:r>
        <w:rPr>
          <w:rFonts w:ascii="Times New Roman" w:hAnsi="Times New Roman" w:eastAsia="Times New Roman"/>
          <w:sz w:val="16"/>
        </w:rPr>
        <w:t>M. C. Ashton and K. Lee, "Empirical, theoretical, and practical advantages of the HEXACO model of personality structure," Pers. Soc. Psychol. Rev., vol. 11, no. 2, pp. 150–166, 2007, doi: 10.1177/1088868306294907.</w:t>
      </w:r>
    </w:p>
    <w:p>
      <w:pPr>
        <w:spacing w:line="240" w:lineRule="auto" w:before="0" w:after="40"/>
        <w:jc w:val="both"/>
      </w:pPr>
      <w:r>
        <w:rPr>
          <w:rFonts w:ascii="Times New Roman" w:hAnsi="Times New Roman" w:eastAsia="Times New Roman"/>
          <w:b/>
          <w:sz w:val="18"/>
        </w:rPr>
        <w:t xml:space="preserve">[9] </w:t>
      </w:r>
      <w:r>
        <w:rPr>
          <w:rFonts w:ascii="Times New Roman" w:hAnsi="Times New Roman" w:eastAsia="Times New Roman"/>
          <w:sz w:val="16"/>
        </w:rPr>
        <w:t>L. Glasø, S. B. Matthiesen, M. B. Nielsen, and S. Einarsen, "Do targets of workplace bullying portray a general victim personality profile?," Scand. J. Psychol., vol. 48, no. 4, pp. 313–319, 2007, doi: 10.1111/j.1467-9450.2007.00554.x.</w:t>
      </w:r>
    </w:p>
    <w:p>
      <w:pPr>
        <w:spacing w:line="240" w:lineRule="auto" w:before="0" w:after="40"/>
        <w:jc w:val="both"/>
      </w:pPr>
      <w:r>
        <w:rPr>
          <w:rFonts w:ascii="Times New Roman" w:hAnsi="Times New Roman" w:eastAsia="Times New Roman"/>
          <w:b/>
          <w:sz w:val="18"/>
        </w:rPr>
        <w:t xml:space="preserve">[10] </w:t>
      </w:r>
      <w:r>
        <w:rPr>
          <w:rFonts w:ascii="Times New Roman" w:hAnsi="Times New Roman" w:eastAsia="Times New Roman"/>
          <w:sz w:val="16"/>
        </w:rPr>
        <w:t>K. Lee, M. C. Ashton, J. Wiltshire, J. S. Bourdage, B. A. Visser, and A. Gallucci, "Sex, power, and money: Prediction from the Dark Triad and Honesty-Humility," Eur. J. Pers., vol. 27, no. 2, pp. 169–184, 2013, doi: 10.1002/per.1860.</w:t>
      </w:r>
    </w:p>
    <w:p>
      <w:pPr>
        <w:spacing w:line="240" w:lineRule="auto" w:before="0" w:after="40"/>
        <w:jc w:val="both"/>
      </w:pPr>
      <w:r>
        <w:rPr>
          <w:rFonts w:ascii="Times New Roman" w:hAnsi="Times New Roman" w:eastAsia="Times New Roman"/>
          <w:b/>
          <w:sz w:val="18"/>
        </w:rPr>
        <w:t xml:space="preserve">[11] </w:t>
      </w:r>
      <w:r>
        <w:rPr>
          <w:rFonts w:ascii="Times New Roman" w:hAnsi="Times New Roman" w:eastAsia="Times New Roman"/>
          <w:sz w:val="16"/>
        </w:rPr>
        <w:t>D. K. Linton and J. L. Power, "The personality traits of workplace bullies are often shared by their victims: Is there a dark side to victims?," Pers. Individ. Differ., vol. 54, no. 6, pp. 738–743, 2013, doi: 10.1016/j.paid.2012.11.026.</w:t>
      </w:r>
    </w:p>
    <w:p>
      <w:pPr>
        <w:spacing w:line="240" w:lineRule="auto" w:before="0" w:after="40"/>
        <w:jc w:val="both"/>
      </w:pPr>
      <w:r>
        <w:rPr>
          <w:rFonts w:ascii="Times New Roman" w:hAnsi="Times New Roman" w:eastAsia="Times New Roman"/>
          <w:b/>
          <w:sz w:val="18"/>
        </w:rPr>
        <w:t xml:space="preserve">[12] </w:t>
      </w:r>
      <w:r>
        <w:rPr>
          <w:rFonts w:ascii="Times New Roman" w:hAnsi="Times New Roman" w:eastAsia="Times New Roman"/>
          <w:sz w:val="16"/>
        </w:rPr>
        <w:t>J. L. Power, et al., "Acceptability of workplace bullying: A comparative study on six continents," J. Bus. Res., vol. 66, no. 3, pp. 374–380, 2013, doi: 10.1016/j.jbusres.2011.08.018.</w:t>
      </w:r>
    </w:p>
    <w:p>
      <w:pPr>
        <w:spacing w:line="240" w:lineRule="auto" w:before="0" w:after="40"/>
        <w:jc w:val="both"/>
      </w:pPr>
      <w:r>
        <w:rPr>
          <w:rFonts w:ascii="Times New Roman" w:hAnsi="Times New Roman" w:eastAsia="Times New Roman"/>
          <w:b/>
          <w:sz w:val="18"/>
        </w:rPr>
        <w:t xml:space="preserve">[13] </w:t>
      </w:r>
      <w:r>
        <w:rPr>
          <w:rFonts w:ascii="Times New Roman" w:hAnsi="Times New Roman" w:eastAsia="Times New Roman"/>
          <w:sz w:val="16"/>
        </w:rPr>
        <w:t>E. Tokiwa, "Cultural influences on personality types: A cluster analysis of HEXACO traits in Japan," IEEE Access, 2026, doi: 10.1109/ACCESS.2026.3651324.</w:t>
      </w:r>
    </w:p>
    <w:p>
      <w:pPr>
        <w:spacing w:line="240" w:lineRule="auto" w:before="0" w:after="40"/>
        <w:jc w:val="both"/>
      </w:pPr>
      <w:r>
        <w:rPr>
          <w:rFonts w:ascii="Times New Roman" w:hAnsi="Times New Roman" w:eastAsia="Times New Roman"/>
          <w:b/>
          <w:sz w:val="18"/>
        </w:rPr>
        <w:t xml:space="preserve">[14] </w:t>
      </w:r>
      <w:r>
        <w:rPr>
          <w:rFonts w:ascii="Times New Roman" w:hAnsi="Times New Roman" w:eastAsia="Times New Roman"/>
          <w:sz w:val="16"/>
        </w:rPr>
        <w:t>E. Tokiwa, "Predicting power and gender harassment from HEXACO and Dark Traits," Research Square, Preprint, version 1, 2025, doi: 10.21203/rs.3.rs-7756124/v1.</w:t>
      </w:r>
    </w:p>
    <w:p>
      <w:pPr>
        <w:spacing w:line="240" w:lineRule="auto" w:before="0" w:after="40"/>
        <w:jc w:val="both"/>
      </w:pPr>
      <w:r>
        <w:rPr>
          <w:rFonts w:ascii="Times New Roman" w:hAnsi="Times New Roman" w:eastAsia="Times New Roman"/>
          <w:b/>
          <w:sz w:val="18"/>
        </w:rPr>
        <w:t xml:space="preserve">[15] </w:t>
      </w:r>
      <w:r>
        <w:rPr>
          <w:rFonts w:ascii="Times New Roman" w:hAnsi="Times New Roman" w:eastAsia="Times New Roman"/>
          <w:sz w:val="16"/>
        </w:rPr>
        <w:t>M. Spielauer, "What is social science microsimulation?," Soc. Sci. Comput. Rev., vol. 29, no. 1, pp. 9–20, 2011, doi: 10.1177/0894439310370085.</w:t>
      </w:r>
    </w:p>
    <w:p>
      <w:pPr>
        <w:spacing w:line="240" w:lineRule="auto" w:before="0" w:after="40"/>
        <w:jc w:val="both"/>
      </w:pPr>
      <w:r>
        <w:rPr>
          <w:rFonts w:ascii="Times New Roman" w:hAnsi="Times New Roman" w:eastAsia="Times New Roman"/>
          <w:b/>
          <w:sz w:val="18"/>
        </w:rPr>
        <w:t xml:space="preserve">[16] </w:t>
      </w:r>
      <w:r>
        <w:rPr>
          <w:rFonts w:ascii="Times New Roman" w:hAnsi="Times New Roman" w:eastAsia="Times New Roman"/>
          <w:sz w:val="16"/>
        </w:rPr>
        <w:t>C. M. Rutter, A. M. Zaslavsky, and E. J. Feuer, "Dynamic microsimulation models for health outcomes: A review," Med. Decis. Making, vol. 31, no. 1, pp. 10–18, 2011, doi: 10.1177/0272989X10369005.</w:t>
      </w:r>
    </w:p>
    <w:p>
      <w:pPr>
        <w:spacing w:line="240" w:lineRule="auto" w:before="0" w:after="40"/>
        <w:jc w:val="both"/>
      </w:pPr>
      <w:r>
        <w:rPr>
          <w:rFonts w:ascii="Times New Roman" w:hAnsi="Times New Roman" w:eastAsia="Times New Roman"/>
          <w:b/>
          <w:sz w:val="18"/>
        </w:rPr>
        <w:t xml:space="preserve">[17] </w:t>
      </w:r>
      <w:r>
        <w:rPr>
          <w:rFonts w:ascii="Times New Roman" w:hAnsi="Times New Roman" w:eastAsia="Times New Roman"/>
          <w:sz w:val="16"/>
        </w:rPr>
        <w:t>M. A. Hernán and J. M. Robins, "Using big data to emulate a target trial when a randomized trial is not available," Am. J. Epidemiol., vol. 183, no. 8, pp. 758–764, 2016, doi: 10.1093/aje/kwv254.</w:t>
      </w:r>
    </w:p>
    <w:p>
      <w:pPr>
        <w:spacing w:line="240" w:lineRule="auto" w:before="0" w:after="40"/>
        <w:jc w:val="both"/>
      </w:pPr>
      <w:r>
        <w:rPr>
          <w:rFonts w:ascii="Times New Roman" w:hAnsi="Times New Roman" w:eastAsia="Times New Roman"/>
          <w:b/>
          <w:sz w:val="18"/>
        </w:rPr>
        <w:t xml:space="preserve">[18] </w:t>
      </w:r>
      <w:r>
        <w:rPr>
          <w:rFonts w:ascii="Times New Roman" w:hAnsi="Times New Roman" w:eastAsia="Times New Roman"/>
          <w:sz w:val="16"/>
        </w:rPr>
        <w:t>M. G. Hudgens and M. E. Halloran, "Toward causal inference with interference," J. Amer. Statist. Assoc., vol. 103, no. 482, pp. 832–842, 2008, doi: 10.1198/016214508000000292.</w:t>
      </w:r>
    </w:p>
    <w:p>
      <w:pPr>
        <w:spacing w:line="240" w:lineRule="auto" w:before="0" w:after="40"/>
        <w:jc w:val="both"/>
      </w:pPr>
      <w:r>
        <w:rPr>
          <w:rFonts w:ascii="Times New Roman" w:hAnsi="Times New Roman" w:eastAsia="Times New Roman"/>
          <w:b/>
          <w:sz w:val="18"/>
        </w:rPr>
        <w:t xml:space="preserve">[19] </w:t>
      </w:r>
      <w:r>
        <w:rPr>
          <w:rFonts w:ascii="Times New Roman" w:hAnsi="Times New Roman" w:eastAsia="Times New Roman"/>
          <w:sz w:val="16"/>
        </w:rPr>
        <w:t>N. W. Hudson and R. C. Fraley, "Volitional personality trait change: Can people choose to change their personality traits?," J. Pers. Soc. Psychol., vol. 109, no. 3, pp. 490–507, 2015, doi: 10.1037/pspp0000021.</w:t>
      </w:r>
    </w:p>
    <w:p>
      <w:pPr>
        <w:spacing w:line="240" w:lineRule="auto" w:before="0" w:after="40"/>
        <w:jc w:val="both"/>
      </w:pPr>
      <w:r>
        <w:rPr>
          <w:rFonts w:ascii="Times New Roman" w:hAnsi="Times New Roman" w:eastAsia="Times New Roman"/>
          <w:b/>
          <w:sz w:val="18"/>
        </w:rPr>
        <w:t xml:space="preserve">[20] </w:t>
      </w:r>
      <w:r>
        <w:rPr>
          <w:rFonts w:ascii="Times New Roman" w:hAnsi="Times New Roman" w:eastAsia="Times New Roman"/>
          <w:sz w:val="16"/>
        </w:rPr>
        <w:t>B. W. Roberts, J. Luo, D. A. Briley, P. I. Chow, R. Su, and P. L. Hill, "A systematic review of personality trait change through intervention," Psychol. Bull., vol. 143, no. 2, pp. 117–141, 2017, doi: 10.1037/bul0000088.</w:t>
      </w:r>
    </w:p>
    <w:p>
      <w:pPr>
        <w:spacing w:line="240" w:lineRule="auto" w:before="0" w:after="40"/>
        <w:jc w:val="both"/>
      </w:pPr>
      <w:r>
        <w:rPr>
          <w:rFonts w:ascii="Times New Roman" w:hAnsi="Times New Roman" w:eastAsia="Times New Roman"/>
          <w:b/>
          <w:sz w:val="18"/>
        </w:rPr>
        <w:t xml:space="preserve">[21] </w:t>
      </w:r>
      <w:r>
        <w:rPr>
          <w:rFonts w:ascii="Times New Roman" w:hAnsi="Times New Roman" w:eastAsia="Times New Roman"/>
          <w:sz w:val="16"/>
        </w:rPr>
        <w:t>J. Escartín, "Insights into workplace bullying: Psychosocial drivers and effective interventions," Psychol. Res. Behav. Manage., vol. 9, pp. 157–169, 2016, doi: 10.2147/PRBM.S91211.</w:t>
      </w:r>
    </w:p>
    <w:p>
      <w:pPr>
        <w:spacing w:line="240" w:lineRule="auto" w:before="0" w:after="40"/>
        <w:jc w:val="both"/>
      </w:pPr>
      <w:r>
        <w:rPr>
          <w:rFonts w:ascii="Times New Roman" w:hAnsi="Times New Roman" w:eastAsia="Times New Roman"/>
          <w:b/>
          <w:sz w:val="18"/>
        </w:rPr>
        <w:t xml:space="preserve">[22] </w:t>
      </w:r>
      <w:r>
        <w:rPr>
          <w:rFonts w:ascii="Times New Roman" w:hAnsi="Times New Roman" w:eastAsia="Times New Roman"/>
          <w:sz w:val="16"/>
        </w:rPr>
        <w:t>M. Hodgins, S. MacCurtain, and P. Mannix-McNamara, "Workplace bullying and incivility: A systematic review of interventions," Int. J. Workplace Health Manage., vol. 7, no. 1, pp. 54–72, 2014, doi: 10.1108/IJWHM-08-2013-0030.</w:t>
      </w:r>
    </w:p>
    <w:p>
      <w:pPr>
        <w:spacing w:line="240" w:lineRule="auto" w:before="0" w:after="40"/>
        <w:jc w:val="both"/>
      </w:pPr>
      <w:r>
        <w:rPr>
          <w:rFonts w:ascii="Times New Roman" w:hAnsi="Times New Roman" w:eastAsia="Times New Roman"/>
          <w:b/>
          <w:sz w:val="18"/>
        </w:rPr>
        <w:t xml:space="preserve">[23] </w:t>
      </w:r>
      <w:r>
        <w:rPr>
          <w:rFonts w:ascii="Times New Roman" w:hAnsi="Times New Roman" w:eastAsia="Times New Roman"/>
          <w:sz w:val="16"/>
        </w:rPr>
        <w:t>K. Tou, A. Tsuda, M. Nii, T. Yamahiro, and M. Irie, "Development of new power harassment questionnaire in workplace," in Proc. 81st Annu. Conv. Japan. Psychol. Assoc., 2017.</w:t>
      </w:r>
    </w:p>
    <w:p>
      <w:pPr>
        <w:spacing w:line="240" w:lineRule="auto" w:before="0" w:after="40"/>
        <w:jc w:val="both"/>
      </w:pPr>
      <w:r>
        <w:rPr>
          <w:rFonts w:ascii="Times New Roman" w:hAnsi="Times New Roman" w:eastAsia="Times New Roman"/>
          <w:b/>
          <w:sz w:val="18"/>
        </w:rPr>
        <w:t xml:space="preserve">[24] </w:t>
      </w:r>
      <w:r>
        <w:rPr>
          <w:rFonts w:ascii="Times New Roman" w:hAnsi="Times New Roman" w:eastAsia="Times New Roman"/>
          <w:sz w:val="16"/>
        </w:rPr>
        <w:t>A. Kobayashi and K. Tanaka, "Development of the Gender Harassment Scale," Jpn. J. Ind. Organ. Psychol., vol. 24, no. 1, pp. 15–27, 2010, doi: 10.32222/jaiop.24.1_15.</w:t>
      </w:r>
    </w:p>
    <w:p>
      <w:pPr>
        <w:spacing w:line="240" w:lineRule="auto" w:before="0" w:after="40"/>
        <w:jc w:val="both"/>
      </w:pPr>
      <w:r>
        <w:rPr>
          <w:rFonts w:ascii="Times New Roman" w:hAnsi="Times New Roman" w:eastAsia="Times New Roman"/>
          <w:b/>
          <w:sz w:val="18"/>
        </w:rPr>
        <w:t xml:space="preserve">[25] </w:t>
      </w:r>
      <w:r>
        <w:rPr>
          <w:rFonts w:ascii="Times New Roman" w:hAnsi="Times New Roman" w:eastAsia="Times New Roman"/>
          <w:sz w:val="16"/>
        </w:rPr>
        <w:t>A. Wakabayashi, "A sixth personality domain that is independent of the Big Five domains: The psychometric properties of the HEXACO Personality Inventory in a Japanese sample," Jpn. Psychol. Res., vol. 56, no. 3, pp. 211–223, 2014, doi: 10.1111/jpr.12045.</w:t>
      </w:r>
    </w:p>
    <w:p>
      <w:pPr>
        <w:spacing w:line="240" w:lineRule="auto" w:before="0" w:after="40"/>
        <w:jc w:val="both"/>
      </w:pPr>
      <w:r>
        <w:rPr>
          <w:rFonts w:ascii="Times New Roman" w:hAnsi="Times New Roman" w:eastAsia="Times New Roman"/>
          <w:b/>
          <w:sz w:val="18"/>
        </w:rPr>
        <w:t xml:space="preserve">[26] </w:t>
      </w:r>
      <w:r>
        <w:rPr>
          <w:rFonts w:ascii="Times New Roman" w:hAnsi="Times New Roman" w:eastAsia="Times New Roman"/>
          <w:sz w:val="16"/>
        </w:rPr>
        <w:t>Statistics Bureau, Ministry of Internal Affairs and Communications, "Labour Force Survey (Basic Tabulation): 2022 Annual Average Results Summary," Tokyo, Japan, 2023. [Online]. Available: https://www.e-stat.go.jp/</w:t>
      </w:r>
    </w:p>
    <w:p>
      <w:pPr>
        <w:spacing w:line="240" w:lineRule="auto" w:before="0" w:after="40"/>
        <w:jc w:val="both"/>
      </w:pPr>
      <w:r>
        <w:rPr>
          <w:rFonts w:ascii="Times New Roman" w:hAnsi="Times New Roman" w:eastAsia="Times New Roman"/>
          <w:b/>
          <w:sz w:val="18"/>
        </w:rPr>
        <w:t xml:space="preserve">[27] </w:t>
      </w:r>
      <w:r>
        <w:rPr>
          <w:rFonts w:ascii="Times New Roman" w:hAnsi="Times New Roman" w:eastAsia="Times New Roman"/>
          <w:sz w:val="16"/>
        </w:rPr>
        <w:t>B. Efron, "Better bootstrap confidence intervals," J. Amer. Statist. Assoc., vol. 82, no. 397, pp. 171–185, 1987, doi: 10.1080/01621459.1987.10478410.</w:t>
      </w:r>
    </w:p>
    <w:p>
      <w:pPr>
        <w:spacing w:line="240" w:lineRule="auto" w:before="0" w:after="40"/>
        <w:jc w:val="both"/>
      </w:pPr>
      <w:r>
        <w:rPr>
          <w:rFonts w:ascii="Times New Roman" w:hAnsi="Times New Roman" w:eastAsia="Times New Roman"/>
          <w:b/>
          <w:sz w:val="18"/>
        </w:rPr>
        <w:t xml:space="preserve">[28] </w:t>
      </w:r>
      <w:r>
        <w:rPr>
          <w:rFonts w:ascii="Times New Roman" w:hAnsi="Times New Roman" w:eastAsia="Times New Roman"/>
          <w:sz w:val="16"/>
        </w:rPr>
        <w:t>P. M. Podsakoff, S. B. MacKenzie, J.-Y. Lee, and N. P. Podsakoff, "Common method biases in behavioral research: A critical review of the literature and recommended remedies," J. Appl. Psychol., vol. 88, no. 5, pp. 879–903, 2003, doi: 10.1037/0021-9010.88.5.879.</w:t>
      </w:r>
    </w:p>
    <w:p>
      <w:pPr>
        <w:spacing w:line="240" w:lineRule="auto" w:before="0" w:after="40"/>
        <w:jc w:val="both"/>
      </w:pPr>
      <w:r>
        <w:rPr>
          <w:rFonts w:ascii="Times New Roman" w:hAnsi="Times New Roman" w:eastAsia="Times New Roman"/>
          <w:b/>
          <w:sz w:val="18"/>
        </w:rPr>
        <w:t xml:space="preserve">[29] </w:t>
      </w:r>
      <w:r>
        <w:rPr>
          <w:rFonts w:ascii="Times New Roman" w:hAnsi="Times New Roman" w:eastAsia="Times New Roman"/>
          <w:sz w:val="16"/>
        </w:rPr>
        <w:t>J. Pearl, Causality: Models, Reasoning, and Inference, 2nd ed. Cambridge, U.K.: Cambridge Univ. Press, 2009.</w:t>
      </w:r>
    </w:p>
    <w:p>
      <w:pPr>
        <w:spacing w:line="240" w:lineRule="auto" w:before="0" w:after="40"/>
        <w:jc w:val="both"/>
      </w:pPr>
      <w:r>
        <w:rPr>
          <w:rFonts w:ascii="Times New Roman" w:hAnsi="Times New Roman" w:eastAsia="Times New Roman"/>
          <w:b/>
          <w:sz w:val="18"/>
        </w:rPr>
        <w:t xml:space="preserve">[30] </w:t>
      </w:r>
      <w:r>
        <w:rPr>
          <w:rFonts w:ascii="Times New Roman" w:hAnsi="Times New Roman" w:eastAsia="Times New Roman"/>
          <w:sz w:val="16"/>
        </w:rPr>
        <w:t>R. L. Berger and J. C. Hsu, "Bioequivalence trials, intersection-union tests and equivalence confidence sets," Statist. Sci., vol. 11, no. 4, pp. 283–319, 1996, doi: 10.1214/ss/1032280304.</w:t>
      </w:r>
    </w:p>
    <w:p>
      <w:pPr>
        <w:spacing w:line="240" w:lineRule="auto" w:before="0" w:after="40"/>
        <w:jc w:val="both"/>
      </w:pPr>
      <w:r>
        <w:rPr>
          <w:rFonts w:ascii="Times New Roman" w:hAnsi="Times New Roman" w:eastAsia="Times New Roman"/>
          <w:b/>
          <w:sz w:val="18"/>
        </w:rPr>
        <w:t xml:space="preserve">[31] </w:t>
      </w:r>
      <w:r>
        <w:rPr>
          <w:rFonts w:ascii="Times New Roman" w:hAnsi="Times New Roman" w:eastAsia="Times New Roman"/>
          <w:sz w:val="16"/>
        </w:rPr>
        <w:t>M. K. Lindell and D. J. Whitney, "Accounting for common method variance in cross-sectional research designs," J. Appl. Psychol., vol. 86, no. 1, pp. 114–121, 2001, doi: 10.1037/0021-9010.86.1.114.</w:t>
      </w:r>
    </w:p>
    <w:p>
      <w:pPr>
        <w:spacing w:line="240" w:lineRule="auto" w:before="0" w:after="40"/>
        <w:jc w:val="both"/>
      </w:pPr>
      <w:r>
        <w:rPr>
          <w:rFonts w:ascii="Times New Roman" w:hAnsi="Times New Roman" w:eastAsia="Times New Roman"/>
          <w:b/>
          <w:sz w:val="18"/>
        </w:rPr>
        <w:t xml:space="preserve">[32] </w:t>
      </w:r>
      <w:r>
        <w:rPr>
          <w:rFonts w:ascii="Times New Roman" w:hAnsi="Times New Roman" w:eastAsia="Times New Roman"/>
          <w:sz w:val="16"/>
        </w:rPr>
        <w:t>T. C. Schelling, "Dynamic models of segregation," J. Math. Sociol., vol. 1, no. 2, pp. 143–186, 1971, doi: 10.1080/0022250X.1971.9989794.</w:t>
      </w:r>
    </w:p>
    <w:p>
      <w:pPr>
        <w:spacing w:line="240" w:lineRule="auto" w:before="0" w:after="40"/>
        <w:jc w:val="both"/>
      </w:pPr>
      <w:r>
        <w:rPr>
          <w:rFonts w:ascii="Times New Roman" w:hAnsi="Times New Roman" w:eastAsia="Times New Roman"/>
          <w:b/>
          <w:sz w:val="18"/>
        </w:rPr>
        <w:t xml:space="preserve">[33] </w:t>
      </w:r>
      <w:r>
        <w:rPr>
          <w:rFonts w:ascii="Times New Roman" w:hAnsi="Times New Roman" w:eastAsia="Times New Roman"/>
          <w:sz w:val="16"/>
        </w:rPr>
        <w:t>J. S. Park, J. C. O'Brien, C. J. Cai, M. R. Morris, P. Liang, and M. S. Bernstein, "Generative agents: Interactive simulacra of human behavior," in Proc. 36th Annu. ACM Symp. User Interface Softw. Technol. (UIST), 2023, doi: 10.1145/3586183.3606763.</w:t>
      </w:r>
    </w:p>
    <w:p>
      <w:pPr>
        <w:spacing w:line="240" w:lineRule="auto" w:before="160" w:after="80"/>
        <w:jc w:val="center"/>
      </w:pPr>
      <w:r>
        <w:rPr>
          <w:rFonts w:ascii="Times New Roman" w:hAnsi="Times New Roman" w:eastAsia="Times New Roman"/>
          <w:b/>
          <w:sz w:val="18"/>
        </w:rPr>
        <w:t>BIOGRAPHIES</w:t>
      </w:r>
    </w:p>
    <w:p>
      <w:pPr>
        <w:spacing w:line="240" w:lineRule="auto" w:before="0" w:after="80"/>
      </w:pPr>
      <w:r>
        <w:rPr>
          <w:rFonts w:ascii="Times New Roman" w:hAnsi="Times New Roman" w:eastAsia="Times New Roman"/>
          <w:i/>
          <w:sz w:val="16"/>
        </w:rPr>
        <w:t>[Photo placeholder — 100×120 px grayscale or color, supplied separately at production stage.]</w:t>
      </w:r>
    </w:p>
    <w:p>
      <w:pPr>
        <w:spacing w:line="240" w:lineRule="auto" w:before="0" w:after="80"/>
        <w:jc w:val="both"/>
      </w:pPr>
      <w:r>
        <w:rPr>
          <w:rFonts w:ascii="Times New Roman" w:hAnsi="Times New Roman" w:eastAsia="Times New Roman"/>
          <w:b/>
          <w:smallCaps/>
          <w:sz w:val="16"/>
        </w:rPr>
        <w:t xml:space="preserve">EISUKE TOKIWA </w:t>
      </w:r>
      <w:r>
        <w:rPr>
          <w:rFonts w:ascii="Times New Roman" w:hAnsi="Times New Roman" w:eastAsia="Times New Roman"/>
          <w:sz w:val="16"/>
        </w:rPr>
        <w:t>(Member, IEEE) is the founder of SUNBLAZE Co., Ltd., Tokyo, Japan. He received his graphic-design training in Japan and subsequently redirected his work toward computational psychology and workplace-organization research. His current research interests span the HEXACO personality model, workplace harassment, target-trial emulation in observational data, microsimulation pipelines with empirical-Bayes shrinkage, and pre-registered counterfactual causal analysis. Prior work includes a HEXACO 7-typology clustering of N = 13,668 Japanese respondents (IEEE Access, 2026). He is committed to fully reproducible, hash-verified analytical pipelines (MIT-licensed, OSF-archived). ORCID: 0009-0009-7124-6669. Contact: eisuke.tokiwa@sunblaze.jp.</w:t>
      </w:r>
    </w:p>
    <w:sectPr w:rsidR="00FC693F" w:rsidRPr="0006063C" w:rsidSect="00034616">
      <w:pgSz w:w="11520" w:h="15660"/>
      <w:pgMar w:top="1280" w:right="740" w:bottom="1040" w:left="740" w:header="360" w:footer="640" w:gutter="0"/>
      <w:docGrid w:linePitch="360"/>
      <w:cols w:num="2" w:equalWidth="0" w:space="400">
        <w:col w:w="4820" w:space="400"/>
        <w:col w:w="48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