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original survey (the underlying N = 354 dataset and its descriptive analyses) is available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is associated with substantial mental-health and labor-supply costs in Japan, where Ministry of Health, Labour and Welfare (MHLW) surveys document past-three-year power-harassment victimization declining from 32.5% (FY2016) to 19.3% (FY2023) over the period spanning enforcement of the 2020 Power Harassment Prevention Law. The relative population-level magnitude of plausible person-level versus system-level interventions during this period has not been quantitatively compared in a pre-registered counterfactual framework. We pre-registered a 7-typology HEXACO microsimulation that emulates a target trial of three counterfactual interventions: (A) a universal +0.3 SD shift on Honesty-Humility, Agreeableness, and Emotionality; (B) a +0.40 SD Honesty-Humility shift restricted to individuals already in three low-prevalence typologies (Clusters {0, 4, 6}); and (C) a structural cell-level propensity reduction of 20%, calibrated against three meta-analyses of organizational anti-harassment interventions and the MHLW FY2016–FY2023 −13.2-percentage-point natural-experiment-like decline. Using N = 354 individual-level observations partitioned into 14 cells (7 typologies × 2 genders) with cell-stratified bootstrap (B = 10,000), Beta-Binomial empirical Bayes shrinkage, and a four-step BCa confidence-interval cascade, the personality-intervention contrasts are statistically null (ΔP_A = −0.0061, 95% CI [−0.0207, +0.0062]; ΔP_B = −0.0059, 95% CI [−0.0207, +0.0066]), whereas the structural-intervention contrast is positive (ΔP_C = +0.0349, 95% CI [+0.0264, +0.0435]). The pre-registered intersection-union test classifies this configuration as REVERSAL: in absolute magnitude, |ΔP_C|/|ΔP_A| ≈ 5.7. The classification is robust across cultural attenuation factors of 0.3–1.0 and across nine pre-registered analytic choices. We interpret these contrasts conditional on the prior meta-analytic and natural-experiment effect sizes from which each counterfactual was calibrated. The findings are consistent with treating HEXACO 7-typology as a stratification variable that identifies differentially exposed subpopulations rather than as a target for individual-level personality modification, and we caution against interpreting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 xml:space="preserve">In a companion study, our research group identified seven robust HEXACO clusters in a Japanese sample of N = 13,668 (Tokiwa, 2026, </w:t>
      </w:r>
      <w:r>
        <w:rPr>
          <w:rFonts w:ascii="Times New Roman" w:hAnsi="Times New Roman" w:eastAsia="Times New Roman"/>
          <w:i/>
          <w:sz w:val="24"/>
        </w:rPr>
        <w:t>IEEE Access</w:t>
      </w:r>
      <w:r>
        <w:rPr>
          <w:rFonts w:ascii="Times New Roman" w:hAnsi="Times New Roman" w:eastAsia="Times New Roman"/>
          <w:sz w:val="24"/>
        </w:rPr>
        <w:t xml:space="preserve">; herein "the centroid study"). The seven typologies — labeled here as types 0 through 6 — span the joint distribution of HEXACO domains and provide a parsimonious taxonomy for categorizing individuals according to their personality profile. The present study leverages these </w:t>
      </w:r>
      <w:r>
        <w:rPr>
          <w:rFonts w:ascii="Times New Roman" w:hAnsi="Times New Roman" w:eastAsia="Times New Roman"/>
          <w:i/>
          <w:sz w:val="24"/>
        </w:rPr>
        <w:t>IEEE Access</w:t>
      </w:r>
      <w:r>
        <w:rPr>
          <w:rFonts w:ascii="Times New Roman" w:hAnsi="Times New Roman" w:eastAsia="Times New Roman"/>
          <w:sz w:val="24"/>
        </w:rPr>
        <w:t>–published centroids as fixed parameters for stratifying a smaller harassment-focused subsample (N = 354; Tokiwa, 2025, Research Square preprint).</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 Access–published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Research Square preprint) and the </w:t>
      </w:r>
      <w:r>
        <w:rPr>
          <w:rFonts w:ascii="Times New Roman" w:hAnsi="Times New Roman" w:eastAsia="Times New Roman"/>
          <w:i/>
          <w:sz w:val="24"/>
        </w:rPr>
        <w:t>IEEE Access</w:t>
      </w:r>
      <w:r>
        <w:rPr>
          <w:rFonts w:ascii="Times New Roman" w:hAnsi="Times New Roman" w:eastAsia="Times New Roman"/>
          <w:sz w:val="24"/>
        </w:rPr>
        <w:t xml:space="preserve"> clustering paper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Research Square preprint, DOI 10.21203/rs.3.rs-7756124/v1;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 IEEE Access, M3-fixed)</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w:t>
      </w:r>
      <w:r>
        <w:rPr>
          <w:rFonts w:ascii="Times New Roman" w:hAnsi="Times New Roman" w:eastAsia="Times New Roman"/>
          <w:i/>
          <w:sz w:val="24"/>
        </w:rPr>
        <w:t>IEEE Access</w:t>
      </w:r>
      <w:r>
        <w:rPr>
          <w:rFonts w:ascii="Times New Roman" w:hAnsi="Times New Roman" w:eastAsia="Times New Roman"/>
          <w:sz w:val="24"/>
        </w:rPr>
        <w:t xml:space="preserve">; DOI 10.1109/ACCESS.2026.3651324) clustering of N = 13,668 Japanese respondents. Per pre-registration v2.0 Methods Clarification M3,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jackknife acceleration parameter â (Methods Clarification m4)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 xml:space="preserve">The national prevalence is computed as the weighted sum P̂_t = Σ_c (p̂_c × W_c) / Σ_c W_c, where W_c is the cluster × gender population weight. Cluster proportions remain at the Tokiwa (2026, </w:t>
      </w:r>
      <w:r>
        <w:rPr>
          <w:rFonts w:ascii="Times New Roman" w:hAnsi="Times New Roman" w:eastAsia="Times New Roman"/>
          <w:i/>
          <w:sz w:val="24"/>
        </w:rPr>
        <w:t>IEEE Access</w:t>
      </w:r>
      <w:r>
        <w:rPr>
          <w:rFonts w:ascii="Times New Roman" w:hAnsi="Times New Roman" w:eastAsia="Times New Roman"/>
          <w:sz w:val="24"/>
        </w:rPr>
        <w:t>) values (M3-fixed; m8 limitation: cluster membership is not in the MHLW data);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applies a +0.40 SD shift in Honesty-Humility (</w:t>
      </w:r>
      <w:r>
        <w:rPr>
          <w:rFonts w:ascii="Times New Roman" w:hAnsi="Times New Roman" w:eastAsia="Times New Roman"/>
          <w:sz w:val="24"/>
        </w:rPr>
        <w:t>code/stage7_counterfactual.py:DELTA_B_MAIN_SD</w:t>
      </w:r>
      <w:r>
        <w:rPr>
          <w:rFonts w:ascii="Times New Roman" w:hAnsi="Times New Roman" w:eastAsia="Times New Roman"/>
          <w:sz w:val="24"/>
        </w:rPr>
        <w:t xml:space="preserve">)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(Pearl 2009 do-operator notation form, which formalizes the targeted indicator "if i ∈ Cluster {0, 4, 6}; HH_i otherwise"). Positivity is computed via ρ_{c, B} = (count of individuals reassigned into target Cluster c after the shift) / (count of individuals in target Cluster c at baseline) and is downgraded by the same m5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−13.2pp ≈ −40.6%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 xml:space="preserve">The H7 intersection-union test (Berger &amp; Hsu, 1996; Methods Clarification m7) computes one-sided 95% lower bounds L_BA and L_BC for ΔP_B − ΔP_A and ΔP_B − ΔP_C, respectively, with bootstrap-resampled cell data (B = 2,000). The configuration is classified per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(Methods Clarification M3). HDF5 artifacts at each stage include the seed, version,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 Research Square preprint; DOI 10.21203/rs.3.rs-7756124/v1).</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 xml:space="preserve">The N = 354 sample was assigned to 14 cells (7 HEXACO clusters × 2 genders) via Euclidean nearest-centroid hard-assignment, using the Tokiwa (2026, </w:t>
      </w:r>
      <w:r>
        <w:rPr>
          <w:rFonts w:ascii="Times New Roman" w:hAnsi="Times New Roman" w:eastAsia="Times New Roman"/>
          <w:i/>
          <w:sz w:val="24"/>
        </w:rPr>
        <w:t>IEEE Access</w:t>
      </w:r>
      <w:r>
        <w:rPr>
          <w:rFonts w:ascii="Times New Roman" w:hAnsi="Times New Roman" w:eastAsia="Times New Roman"/>
          <w:sz w:val="24"/>
        </w:rPr>
        <w:t>)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M4 cascade prescribes for degenerate cells (X_c ∈ {0, N_c}). No cells required the BC or Percentile fallbacks, confirming that the v2.0 master Section 5.1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IEEE Access)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m7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m5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m7 priority-1 condition (point ΔP_B &lt; point ΔP_C; L_BC = −0.0544 also lies below zero in the CI cascade, providing CI-based corroboration of REVERSAL that does not rely on the ΔP_B point estimate, which is downgraded to exploratory under the m5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m8 limitation: cluster proportions M3-fixed</w:t>
      </w:r>
    </w:p>
    <w:p>
      <w:pPr>
        <w:spacing w:line="480" w:lineRule="auto" w:before="0" w:after="0"/>
        <w:ind w:firstLine="720"/>
      </w:pPr>
      <w:r>
        <w:rPr>
          <w:rFonts w:ascii="Times New Roman" w:hAnsi="Times New Roman" w:eastAsia="Times New Roman"/>
          <w:sz w:val="24"/>
        </w:rPr>
        <w:t xml:space="preserve">Per Methods Clarification m8, the 7-cluster proportions used in Stage 1 reweighting remain fixed at the Tokiwa (2026, </w:t>
      </w:r>
      <w:r>
        <w:rPr>
          <w:rFonts w:ascii="Times New Roman" w:hAnsi="Times New Roman" w:eastAsia="Times New Roman"/>
          <w:i/>
          <w:sz w:val="24"/>
        </w:rPr>
        <w:t>IEEE Access</w:t>
      </w:r>
      <w:r>
        <w:rPr>
          <w:rFonts w:ascii="Times New Roman" w:hAnsi="Times New Roman" w:eastAsia="Times New Roman"/>
          <w:sz w:val="24"/>
        </w:rPr>
        <w:t>)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per pre-registered v2.0 Section 5.7.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m7 priority cascade implemented in </w:t>
      </w:r>
      <w:r>
        <w:rPr>
          <w:rFonts w:ascii="Times New Roman" w:hAnsi="Times New Roman" w:eastAsia="Times New Roman"/>
          <w:sz w:val="24"/>
        </w:rPr>
        <w:t>code/stage7_counterfactual.py:h7_iut</w:t>
      </w:r>
      <w:r>
        <w:rPr>
          <w:rFonts w:ascii="Times New Roman" w:hAnsi="Times New Roman" w:eastAsia="Times New Roman"/>
          <w:sz w:val="24"/>
        </w:rPr>
        <w:t>: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m7 priority-1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(Methods Clarification m5):</w:t>
      </w:r>
      <w:r>
        <w:rPr>
          <w:rFonts w:ascii="Times New Roman" w:hAnsi="Times New Roman" w:eastAsia="Times New Roman"/>
          <w:sz w:val="24"/>
        </w:rPr>
        <w:t xml:space="preserve"> Counterfactual A and C trivially preserve positivity. Counterfactual B's flagged-weight share = 44.5%;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IEEE Access)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M4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 xml:space="preserve">A box-and-arrow diagram of the nine pre-registered pipeline stages, showing the data inputs (N=354 individual data; Tokiwa 2026 </w:t>
      </w:r>
      <w:r>
        <w:rPr>
          <w:rFonts w:ascii="Times New Roman" w:hAnsi="Times New Roman" w:eastAsia="Times New Roman"/>
          <w:i/>
          <w:sz w:val="24"/>
        </w:rPr>
        <w:t>IEEE Access</w:t>
      </w:r>
      <w:r>
        <w:rPr>
          <w:rFonts w:ascii="Times New Roman" w:hAnsi="Times New Roman" w:eastAsia="Times New Roman"/>
          <w:sz w:val="24"/>
        </w:rPr>
        <w:t xml:space="preserve"> 7-cluster centroids; Statistics Bureau (MIC) Labor Force Survey 2022) flowing through Stages 0–8 with their HDF5 outputs. Generated as PNG/PDF/SVG by </w:t>
      </w:r>
      <w:r>
        <w:rPr>
          <w:rFonts w:ascii="Times New Roman" w:hAnsi="Times New Roman" w:eastAsia="Times New Roman"/>
          <w:sz w:val="24"/>
        </w:rPr>
        <w:t>simulation/code/figures.py</w:t>
      </w:r>
      <w:r>
        <w:rPr>
          <w:rFonts w:ascii="Times New Roman" w:hAnsi="Times New Roman" w:eastAsia="Times New Roman"/>
          <w:sz w:val="24"/>
        </w:rPr>
        <w:t xml:space="preserve"> (Makefile target </w:t>
      </w:r>
      <w:r>
        <w:rPr>
          <w:rFonts w:ascii="Times New Roman" w:hAnsi="Times New Roman" w:eastAsia="Times New Roman"/>
          <w:sz w:val="24"/>
        </w:rPr>
        <w:t>figures</w:t>
      </w:r>
      <w:r>
        <w:rPr>
          <w:rFonts w:ascii="Times New Roman" w:hAnsi="Times New Roman" w:eastAsia="Times New Roman"/>
          <w:sz w:val="24"/>
        </w:rPr>
        <w:t>).</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simulation/code/figures.py as simulation/output/figures/figure1_pipeline.{png,pdf,svg}.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