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720"/>
      </w:pPr>
      <w:r>
        <w:rPr>
          <w:rFonts w:ascii="Times New Roman" w:hAnsi="Times New Roman" w:eastAsia="Times New Roman"/>
          <w:b/>
          <w:sz w:val="24"/>
        </w:rPr>
        <w:t>Title:</w:t>
      </w:r>
      <w:r>
        <w:rPr>
          <w:rFonts w:ascii="Times New Roman" w:hAnsi="Times New Roman" w:eastAsia="Times New Roman"/>
          <w:sz w:val="24"/>
        </w:rPr>
        <w:t xml:space="preserve"> </w:t>
      </w:r>
      <w:r>
        <w:rPr>
          <w:rFonts w:ascii="Times New Roman" w:hAnsi="Times New Roman" w:eastAsia="Times New Roman"/>
          <w:i/>
          <w:sz w:val="24"/>
        </w:rPr>
        <w:t>Person-Level versus System-Level Anti-Harassment Interventions: A HEXACO 7-Typology Counterfactual Microsimulation in Japanese Workplaces</w:t>
      </w:r>
    </w:p>
    <w:p>
      <w:pPr>
        <w:spacing w:line="480" w:lineRule="auto" w:before="0" w:after="0"/>
        <w:ind w:firstLine="720"/>
      </w:pPr>
      <w:r>
        <w:rPr>
          <w:rFonts w:ascii="Times New Roman" w:hAnsi="Times New Roman" w:eastAsia="Times New Roman"/>
          <w:b/>
          <w:sz w:val="24"/>
        </w:rPr>
        <w:t>Author</w:t>
      </w:r>
      <w:r>
        <w:rPr>
          <w:rFonts w:ascii="Times New Roman" w:hAnsi="Times New Roman" w:eastAsia="Times New Roman"/>
          <w:sz w:val="24"/>
        </w:rPr>
        <w:t xml:space="preserve">: Eisuke Tokiwa </w:t>
      </w:r>
      <w:r>
        <w:rPr>
          <w:rFonts w:ascii="Times New Roman" w:hAnsi="Times New Roman" w:eastAsia="Times New Roman"/>
          <w:b/>
          <w:sz w:val="24"/>
        </w:rPr>
        <w:t>Affiliation</w:t>
      </w:r>
      <w:r>
        <w:rPr>
          <w:rFonts w:ascii="Times New Roman" w:hAnsi="Times New Roman" w:eastAsia="Times New Roman"/>
          <w:sz w:val="24"/>
        </w:rPr>
        <w:t xml:space="preserve">: SUNBLAZE Co., Ltd., Tokyo, Japan </w:t>
      </w:r>
      <w:r>
        <w:rPr>
          <w:rFonts w:ascii="Times New Roman" w:hAnsi="Times New Roman" w:eastAsia="Times New Roman"/>
          <w:b/>
          <w:sz w:val="24"/>
        </w:rPr>
        <w:t>ORCID</w:t>
      </w:r>
      <w:r>
        <w:rPr>
          <w:rFonts w:ascii="Times New Roman" w:hAnsi="Times New Roman" w:eastAsia="Times New Roman"/>
          <w:sz w:val="24"/>
        </w:rPr>
        <w:t xml:space="preserve">: 0009-0009-7124-6669 </w:t>
      </w:r>
      <w:r>
        <w:rPr>
          <w:rFonts w:ascii="Times New Roman" w:hAnsi="Times New Roman" w:eastAsia="Times New Roman"/>
          <w:b/>
          <w:sz w:val="24"/>
        </w:rPr>
        <w:t>Correspondence</w:t>
      </w:r>
      <w:r>
        <w:rPr>
          <w:rFonts w:ascii="Times New Roman" w:hAnsi="Times New Roman" w:eastAsia="Times New Roman"/>
          <w:sz w:val="24"/>
        </w:rPr>
        <w:t>: eisuke.tokiwa@sunblaze.jp</w:t>
      </w:r>
    </w:p>
    <w:p>
      <w:pPr>
        <w:spacing w:line="480" w:lineRule="auto" w:before="0" w:after="0"/>
        <w:ind w:firstLine="720"/>
      </w:pPr>
      <w:r>
        <w:rPr>
          <w:rFonts w:ascii="Times New Roman" w:hAnsi="Times New Roman" w:eastAsia="Times New Roman"/>
          <w:sz w:val="24"/>
        </w:rPr>
        <w:t>(</w:t>
      </w:r>
      <w:r>
        <w:rPr>
          <w:rFonts w:ascii="Times New Roman" w:hAnsi="Times New Roman" w:eastAsia="Times New Roman"/>
          <w:i/>
          <w:sz w:val="24"/>
        </w:rPr>
        <w:t>Pre-registration, reporting standard, funding, competing interests, and data availability</w:t>
      </w:r>
      <w:r>
        <w:rPr>
          <w:rFonts w:ascii="Times New Roman" w:hAnsi="Times New Roman" w:eastAsia="Times New Roman"/>
          <w:sz w:val="24"/>
        </w:rPr>
        <w:t xml:space="preserve"> are reported in the Author Note / Declarations on the title page of the rendered manuscript and in the Methods § Data availability subsection. The condensed disclosure: the author is the founder of SUNBLAZE Co., Ltd., which provides HEXACO-JP, a proprietary Japanese-language HEXACO-based personality assessment service; this is a potential competing interest. The present study does not use HEXACO-JP — it uses the HEXACO-PI-R Japanese 60-item adaptation of Wakabayashi (2014) — and the manuscript does not reference, evaluate, market, recommend, or promote HEXACO-JP or any other SUNBLAZE product. No funding was received for this research from any source. Pre-registration: v2.0, locked 2026-04-30.)</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and the MHLW FY2016–FY2023 −13.2-percentage-point natural-experiment-like decline.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and natural-experiment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Research Square preprint) and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(Methods Clarification M3). HDF5 artifacts at each stage include the seed, version,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m5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IEEE Access)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providing CI-based corroboration of REVERSAL that does not rely on the ΔP_B point estimate, which is downgraded to exploratory under the m5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