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sz w:val="28"/>
        </w:rPr>
        <w:t>STROBE Statement — Checklist of items that should be included in reports of cross-sectional studies</w:t>
      </w:r>
    </w:p>
    <w:p>
      <w:pPr>
        <w:spacing w:after="120"/>
      </w:pPr>
      <w:r>
        <w:rPr>
          <w:b/>
          <w:i w:val="0"/>
          <w:sz w:val="20"/>
        </w:rPr>
        <w:t>Manuscript title: Associations of HEXACO and Dark Traits with Power and Gender Harassment</w:t>
      </w:r>
    </w:p>
    <w:p>
      <w:pPr>
        <w:spacing w:after="120"/>
      </w:pPr>
      <w:r>
        <w:rPr>
          <w:b w:val="0"/>
          <w:i w:val="0"/>
          <w:sz w:val="20"/>
        </w:rPr>
        <w:t>Author: Eisuke Tokiwa (sole author)</w:t>
      </w:r>
    </w:p>
    <w:p>
      <w:pPr>
        <w:spacing w:after="120"/>
      </w:pPr>
      <w:r>
        <w:rPr>
          <w:b w:val="0"/>
          <w:i w:val="0"/>
          <w:sz w:val="20"/>
        </w:rPr>
        <w:t>Affiliation: SUNBLAZE Co., Ltd., Tokyo, Japan</w:t>
      </w:r>
    </w:p>
    <w:p>
      <w:pPr>
        <w:spacing w:after="120"/>
      </w:pPr>
      <w:r>
        <w:rPr>
          <w:b w:val="0"/>
          <w:i w:val="0"/>
          <w:sz w:val="20"/>
        </w:rPr>
        <w:t>Study design: Cross-sectional online survey (N = 354 currently employed Japanese adults; recruited via Lancers)</w:t>
      </w:r>
    </w:p>
    <w:p>
      <w:pPr>
        <w:spacing w:after="120"/>
      </w:pPr>
      <w:r>
        <w:rPr>
          <w:b w:val="0"/>
          <w:i/>
          <w:sz w:val="18"/>
        </w:rPr>
        <w:t>STROBE version: STROBE Statement (version 4)</w:t>
      </w:r>
    </w:p>
    <w:p>
      <w:pPr>
        <w:spacing w:after="120"/>
      </w:pPr>
      <w:r>
        <w:rPr>
          <w:b w:val="0"/>
          <w:i/>
          <w:sz w:val="18"/>
        </w:rPr>
        <w:t>Manuscript file: Manuscript_PLOS_ONE.docx (US Letter, line-numbered)</w:t>
      </w:r>
    </w:p>
    <w:tbl>
      <w:tblPr>
        <w:tblStyle w:val="Light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Section / Item No.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Recommendation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Reported on page No. / Where in manuscript</w:t>
            </w:r>
          </w:p>
        </w:tc>
      </w:tr>
      <w:tr>
        <w:tc>
          <w:tcPr>
            <w:tcW w:type="dxa" w:w="1417"/>
            <w:gridSpan w:val="4"/>
          </w:tcPr>
          <w:p>
            <w:r>
              <w:rPr>
                <w:b/>
                <w:sz w:val="22"/>
              </w:rPr>
              <w:t>Title and abstract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1(a)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Indicate the study's design with a commonly used term in the title or the abstract.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Abstract (first sentences): "In a cross-sectional online survey of 354 currently employed Japanese adults recruited via Lancers, we tested whether HEXACO traits—especially Honesty–Humility (H–H)—are associated with self-reported power and gender harassment perpetration tendencies beyond the Dark Triad."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1(b)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Provide in the abstract an informative and balanced summary of what was done and what was found.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Abstract section (≈ 257 words): includes rationale, sample, instruments, key effect sizes (β, ΔR²), sex-stratified pattern, and explicit interpretive caveats.</w:t>
            </w:r>
          </w:p>
        </w:tc>
      </w:tr>
      <w:tr>
        <w:tc>
          <w:tcPr>
            <w:tcW w:type="dxa" w:w="1417"/>
            <w:gridSpan w:val="4"/>
          </w:tcPr>
          <w:p>
            <w:r>
              <w:rPr>
                <w:b/>
                <w:sz w:val="22"/>
              </w:rPr>
              <w:t>Introduction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Background/rationale: Explain the scientific background and rationale for the investigation being reported.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Introduction section, all five subsections: "The Dark Triad"; "The Dark Triad and Harassment Perpetration Tendencies"; "HEXACO in Personality Research"; "HEXACO and Workplace Behaviors"; "Dark Triad Research in Japan".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Objectives: State specific objectives, including any prespecified hypotheses.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"Purpose of the Study" subsection. Five pre-stated falsifiable hypotheses H1–H5, each with an explicit disconfirmation condition (e.g., "H1 (Differential Dark-Triad pattern). Psychopathy will retain a positive coefficient... If psychopathy fails to retain a significant positive coefficient while one of the other dark traits dominates, H1 would be disconfirmed.").</w:t>
            </w:r>
          </w:p>
        </w:tc>
      </w:tr>
      <w:tr>
        <w:tc>
          <w:tcPr>
            <w:tcW w:type="dxa" w:w="1417"/>
            <w:gridSpan w:val="4"/>
          </w:tcPr>
          <w:p>
            <w:r>
              <w:rPr>
                <w:b/>
                <w:sz w:val="22"/>
              </w:rPr>
              <w:t>Methods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Study design: Present key elements of study design early in the paper.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Materials &amp; Methods → Research Design and Implementation: "This study was a cross-sectional online survey. Data were collected via a Google Forms questionnaire in which the researcher configured every item as required..."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Setting: Describe the setting, locations, and relevant dates, including periods of recruitment, exposure, follow-up, and data collection.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Participants: recruited through Lancers (https://www.lancers.jp); restricted to currently employed Japanese adults. Procedure: "The survey was conducted from August 1 to August 18, 2025."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6(a)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Participants: Give the eligibility criteria, and the sources and methods of selection of participants.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Participants paragraph: eligibility = currently employed adults; required at survey entry to confirm employment status, otherwise blocked from proceeding; inattentive responses (e.g., same option consecutively across long item blocks, extreme response times) and duplicate submissions excluded per pre-defined criteria; 380 respondents → 354 final analytic sample.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Variables: Clearly define all outcomes, exposures, predictors, potential confounders, and effect modifiers. Give diagnostic criteria, if applicable.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Measurement Instruments: predictors = HEXACO-60 (Wakabayashi, 2014) six subscales and SD3-J (Shimotsukasa &amp; Oshio, 2017) three subscales (Machiavellianism, Narcissism, Psychopathy); outcomes = Workplace Power Harassment Scale (Tou et al., 2017; composite of behavior, climate, attitude) and Gender Harassment Scale (Kobayashi &amp; Tanaka, 2010; composite of commission and omission). Demographic covariates: age (10-year decade), binary gender, geographic area (Kanto / Kinki / Other).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Data sources/measurement: For each variable of interest, give sources of data and details of methods of assessment (measurement). Describe comparability of assessment methods if there is more than one group.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Measurement Instruments subsection: validated Japanese-language self-report instruments; 5-point Likert (HEXACO-60, SD3-J, Gender Harassment Scale) and 3-point frequency scale (Power Harassment Scale); Cronbach's α for each subscale and composite reported in the present sample (e.g., α = .862 power-harassment behaviors; α = .901 gender-harassment total).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Bias: Describe any efforts to address potential sources of bias.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Participants: pre-defined exclusion rules for inattentive responses and duplicate submissions. Methods: HC3 heteroscedasticity-consistent robust SEs; Cook's D &gt; 4/n sensitivity analysis; VIF diagnostics. Limitations explicitly discuss common-method variance, social-desirability bias, sample-construct mismatch (managerial status not assessed), composite criterion heterogeneity, hierarchical regression vs latent-variable framework, and cross-sex precision asymmetry.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Study size: Explain how the study size was arrived at.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Analytical Strategy → "Sample size consideration (post hoc sensitivity)": no a priori power analysis at design stage; post-hoc sensitivity reported achieved power = .803 for the power-harassment ΔR² (Cohen's f² = .040) and = .9997 for the gender-harassment ΔR² (Cohen's f² = .122) at α = .05.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Quantitative variables: Explain how quantitative variables were handled in the analyses. If applicable, describe which groupings were chosen and why.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Data Processing subsection: continuous variables z-standardized so that regression slopes are interpretable as standardized β; gender coded as binary indicator (0 = male, 1 = female); geographic region retained as three categories (Kanto, Kinki, Other), with Kanto as the reference category yielding two dummy indicators. Age retained as a decade-level numeric value.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12(a)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Statistical methods: Describe all statistical methods, including those used to control for confounding.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Analytical Strategy → Model definitions: Spearman rank correlations as bivariate analysis; HC3-robust hierarchical multiple regression for prediction. Model A = controls (age, gender, region dummies) + Dark Triad; Model B = Model A + HEXACO six factors; Model C = Model B + Honesty–Humility × Dark Triad interactions.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12(b)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Describe any methods used to examine subgroups and interactions.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Sensitivity and stratified analyses: Model B re-estimated separately for men (n = 133) and women (n = 220). Model C added H–H × M / N / P interaction terms (exploratory). Sex-stratified standardized coefficients reported in Tables 5 and 8.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12(c)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Explain how missing data were addressed.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Data Processing: every Google Forms item configured as required by the researcher, so item-level missingness from skipped items did not arise. The very small number of technical missing values (≤ 0.3% in any indicator) reflects data-cleaning anomalies (e.g., out-of-range entries flagged during validation) and was handled by complete-case (listwise) analysis with negligible impact on the results. Effective sample = n = 353.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12(d)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If applicable, describe analytical methods taking account of sampling strategy.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Not applicable. Convenience sample via Lancers crowdsourcing; no probability-sampling weights applied. The limitation is acknowledged explicitly in the Limitations subsection.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12(e)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Describe any sensitivity analyses.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Sensitivity Analysis and Interaction Effects subsection: Model B re-estimated after excluding high-influence observations (Cook's D &gt; 4/n); substantive conclusions unchanged (Table 4; max Cook's D = 0.058 power, 0.043 gender; exceedances = 23 power, 15 gender). Model C interaction-augmented R² compared to Model B: only small improvements.</w:t>
            </w:r>
          </w:p>
        </w:tc>
      </w:tr>
      <w:tr>
        <w:tc>
          <w:tcPr>
            <w:tcW w:type="dxa" w:w="1417"/>
            <w:gridSpan w:val="4"/>
          </w:tcPr>
          <w:p>
            <w:r>
              <w:rPr>
                <w:b/>
                <w:sz w:val="22"/>
              </w:rPr>
              <w:t>Results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13(a)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Participants: Report numbers of individuals at each stage of study—e.g., numbers potentially eligible, examined for eligibility, confirmed eligible, included in the study, completing follow-up, and analysed.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Participants subsection: 380 respondents → 354 final analytic sample after pre-defined exclusions (inattentive and duplicate responses). Model Diagnostics paragraph: effective n = 353 after one Dark Triad missing.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13(b)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Give reasons for non-participation at each stage.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Participants: respondents failing the employment confirmation were not allowed to proceed; subsequent exclusions = inattentive responses (e.g., consecutive identical options, extreme response times) and duplicate submissions per pre-defined criteria.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13(c)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Consider use of a flow diagram.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No formal flow diagram provided; equivalent narrative description in Participants paragraph.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14(a)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Descriptive data: Give characteristics of study participants (e.g., demographic, clinical, social) and information on exposures and potential confounders.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Results → Descriptive Statistics subsection and Table 1: 134 men, 220 women; age 32 aged 18–19, 100 in 20s, 124 in 30s, 70 in 40s, 28 in 50+; mean (SD) for all HEXACO-60 subscales, SD3-J subscales, and harassment outcome composites.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14(b)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Indicate number of participants with missing data for each variable of interest.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Model Diagnostics paragraph: "Missingness was minimal (each Dark Triad variable 0.28%; others 0%), yielding an effective sample of n = 353."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Outcome data: Report numbers of outcome events or summary measures.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Descriptive Statistics: power harassment composite M = 1.26 (SD = 0.32), range 1.0–2.5; gender harassment composite M = 1.70 (SD = 0.70), range 1.0–4.2. Reported as continuous summary measures (not event counts) per the cross-sectional self-report design.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16(a)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Main results: Give unadjusted estimates and, if applicable, confounder-adjusted estimates and their precision (e.g., 95% confidence interval). Make clear which confounders were adjusted for and why they were included.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Tables 3 and 4. Model A reports unadjusted-by-HEXACO estimates (β, robust SE, t, p; HC3); Model B reports estimates adjusted for the six HEXACO factors as well as demographic covariates (age, gender, region). Narrative in Multiple Regression Analysis subsection. Confounders rationale stated in Data Processing.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16(b)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Report category boundaries when continuous variables were categorized.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Data Processing: age retained as decade values (decade numeric); gender binary 0/1; area Kanto / Kinki / Other (definitions given). The continuous personality and outcome variables were not categorized for the primary analyses; they were z-standardized.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16(c)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If relevant, consider translating estimates of relative risk into absolute risk for a meaningful time period.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Not applicable. Observational personality–outcome associations are reported as standardized regression coefficients; no clinical risk translation is appropriate for these constructs.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Other analyses: Report other analyses done—e.g., analyses of subgroups and interactions, and sensitivity analyses.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Sensitivity Analysis and Interaction Effects subsection (Cook's D &gt; 4/n exclusion; Model C H–H × Dark Triad interactions). Sex-Stratified Analyses subsection with Tables 5 (R²) and 8 (Model B coefficients separately for men and women).</w:t>
            </w:r>
          </w:p>
        </w:tc>
      </w:tr>
      <w:tr>
        <w:tc>
          <w:tcPr>
            <w:tcW w:type="dxa" w:w="1417"/>
            <w:gridSpan w:val="4"/>
          </w:tcPr>
          <w:p>
            <w:r>
              <w:rPr>
                <w:b/>
                <w:sz w:val="22"/>
              </w:rPr>
              <w:t>Discussion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results: Summarise key results with reference to study objectives.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Discussion → Summary of Results subsection: explicit mapping of findings to H1–H5 hypotheses with statements of consistency / partial support.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Limitations: Discuss limitations of the study, taking into account sources of potential bias or imprecision. Discuss both direction and magnitude of any potential bias.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Limitations subsection: (1) cross-sectional design (causal-inference limit); (2) self-report at single time point (common-method variance, social-desirability bias on a socially sensitive topic); (3) crowdsourcing sample representativeness; (4) sample–construct mismatch: power-harassment items presuppose a supervisory relational context but managerial status was not assessed (acknowledged as a fundamental construct-validity concern); (5) composite criterion heterogeneity (behavior + attitude + climate bundled); (6) hierarchical regression vs latent-variable framework (residual H–H association cannot be interpreted as a separable latent fairness/sincerity factor without SEM/CFA); (7) sex-stratified precision asymmetry (n = 133 men vs 220 women); (8) cross-cultural generalizability.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Interpretation: Give a cautious overall interpretation of results considering objectives, limitations, multiplicity of analyses, results from similar studies, and other relevant evidence.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Theoretical Implications subsection. H–H findings explicitly framed as "adjusted association" rather than as evidence of a separable latent factor. Machiavellianism's negative adjusted coefficient explicitly NOT interpreted as "protective"; sex-stratified divergence in predictor structure offered as one provisional interpretation among several, not as a confirmed moderation effect.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Generalisability: Discuss the generalisability (external validity) of the study results.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Limitations: results should be read as applying to currently employed Japanese adults responding to the items as written, not specifically to confirmed supervisors. Cross-cultural inferences require harmonized comparative designs with matched occupational samples. Theoretical Implications subsection also flags cultural-universality limits.</w:t>
            </w:r>
          </w:p>
        </w:tc>
      </w:tr>
      <w:tr>
        <w:tc>
          <w:tcPr>
            <w:tcW w:type="dxa" w:w="1417"/>
            <w:gridSpan w:val="4"/>
          </w:tcPr>
          <w:p>
            <w:r>
              <w:rPr>
                <w:b/>
                <w:sz w:val="22"/>
              </w:rPr>
              <w:t>Other information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Funding: Give the source of funding and the role of the funders for the present study and, if applicable, for the original study on which the present article is based.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Funding Statement (PLOS submission Required Statements and to be typeset in published article): research funded entirely from the author's personal resources; no external grant; SUNBLAZE Co., Ltd. provided no financial contribution and no in-kind support at any stage, including any Article Processing Charge; funders had no role in study design, data collection and analysis, decision to publish, or preparation of the manuscript (because no external funders exist).</w:t>
            </w:r>
          </w:p>
        </w:tc>
      </w:tr>
    </w:tbl>
    <w:p/>
    <w:p>
      <w:pPr>
        <w:spacing w:before="200" w:after="80"/>
      </w:pPr>
      <w:r>
        <w:rPr>
          <w:b/>
          <w:sz w:val="24"/>
        </w:rPr>
        <w:t>Note on the "Reported on page No." column</w:t>
      </w:r>
    </w:p>
    <w:p>
      <w:pPr>
        <w:spacing w:after="120"/>
      </w:pPr>
      <w:r>
        <w:rPr>
          <w:b w:val="0"/>
          <w:i/>
          <w:sz w:val="18"/>
        </w:rPr>
        <w:t>Page numbers should be filled in with reference to the Reviewing PDF generated by PLOS at submission time, which assembles Manuscript_PLOS_ONE.docx (or the PLOS ONE typeset PDF) with continuous pagination. The locations indicated in this checklist refer to section names and subsection names within Manuscript_PLOS_ONE.docx; the corresponding page numbers can be added directly to this checklist at the editor's convenience or copied into the submission system.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