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583c404abd782945a64dedc8a695adb1b5609b2"/>
    <w:bookmarkStart w:id="20" w:name="X07c713f7c312609ca70461a8c6d4557619a5100"/>
    <w:bookmarkEnd w:id="20"/>
    <w:bookmarkStart w:id="21" w:name="X9ca29077234c3c4fefb93b6a7d456525886c331"/>
    <w:bookmarkEnd w:id="21"/>
    <w:bookmarkStart w:id="22" w:name="other-changes"/>
    <w:bookmarkEnd w:id="22"/>
    <w:bookmarkEnd w:id="23"/>
    <w:p>
      <w:pPr>
        <w:pStyle w:val="Heading1"/>
      </w:pPr>
      <w:r>
        <w:t>ICEEL 2026 — Paper EL2036: Response to the reviewer</w:t>
      </w:r>
    </w:p>
    <w:p>
      <w:pPr>
        <w:pStyle w:val="FirstParagraph"/>
      </w:pPr>
      <w:r>
        <w:t>Paper: “Cultural dimensions in online learning: A Hofstede-moderated within-Asia synthesis of the Big Five and academic achievement, with a focused look at the Japanese context” (Eisuke Tokiwa)</w:t>
      </w:r>
    </w:p>
    <w:p>
      <w:pPr>
        <w:pStyle w:val="BodyText"/>
      </w:pPr>
      <w:r>
        <w:t>I thank the reviewer for the careful reading and the constructive comments. The camera-ready version (EL2036_Tokiwa_final.docx, 10 pages) addresses both major points as follows. It also includes the statistical corrections described in my email of 27 October 2026 (EL2036_changes_v2), and adds the CCS concepts required by the template.</w:t>
      </w:r>
    </w:p>
    <w:p>
      <w:pPr>
        <w:pStyle w:val="Heading2"/>
      </w:pPr>
      <w:r>
        <w:t>Comment 1 — Cross-level inference in Table 4 (Sections 4.4 and 5.4)</w:t>
      </w:r>
    </w:p>
    <w:p>
      <w:pPr>
        <w:pStyle w:val="BlockText"/>
      </w:pPr>
      <w:r>
        <w:t>HM04 country-level correlations between Hofstede dimensions and national mean Big Five scores are used to “predict” the sign of individual-level trait–outcome correlations in Japanese learners.</w:t>
      </w:r>
    </w:p>
    <w:p>
      <w:pPr>
        <w:pStyle w:val="FirstParagraph"/>
      </w:pPr>
      <w:r>
        <w:t>I agree. The analysis is now framed as an exploratory correspondence, not a prediction or validation test.</w:t>
      </w:r>
    </w:p>
    <w:p>
      <w:pPr>
        <w:numPr>
          <w:ilvl w:val="0"/>
          <w:numId w:val="1001"/>
        </w:numPr>
        <w:pStyle w:val="Compact"/>
      </w:pPr>
      <w:r>
        <w:t>Abstract, Section 1 and Section 7: “direction-prediction match”, “predicted” and “doubly predicted” are replaced by “exploratory correspondence” with “country-level trait – culture associations”. The Introduction states that the reference correlations describe nations rather than learners.</w:t>
      </w:r>
    </w:p>
    <w:p>
      <w:pPr>
        <w:numPr>
          <w:ilvl w:val="0"/>
          <w:numId w:val="1001"/>
        </w:numPr>
        <w:pStyle w:val="Compact"/>
      </w:pPr>
      <w:r>
        <w:t>Section 2.1: states that the Hofstede &amp; McCrae (2004) correlations are not predictions for individual learners and are used only as a reference point.</w:t>
      </w:r>
    </w:p>
    <w:p>
      <w:pPr>
        <w:numPr>
          <w:ilvl w:val="0"/>
          <w:numId w:val="1001"/>
        </w:numPr>
        <w:pStyle w:val="Compact"/>
      </w:pPr>
      <w:r>
        <w:t>Section 4.4 and Table 4: retitled “Exploratory correspondence with country-level trait – culture associations”; the column “HM04 prediction” is now “Country-level reference (HM04)”, “Match?” is now “Same sign?”, and the text says the reference column summarises associations between national culture scores and national trait means.</w:t>
      </w:r>
    </w:p>
    <w:p>
      <w:pPr>
        <w:numPr>
          <w:ilvl w:val="0"/>
          <w:numId w:val="1001"/>
        </w:numPr>
        <w:pStyle w:val="Compact"/>
      </w:pPr>
      <w:r>
        <w:t>Section 5.4: rewritten as “Reading the Neuroticism correspondence with caution”. It names the level-of-analysis mismatch as a cross-level inference and states that testing the mechanism would require individual-level cultural measures collected together with personality and outcomes.</w:t>
      </w:r>
    </w:p>
    <w:p>
      <w:pPr>
        <w:numPr>
          <w:ilvl w:val="0"/>
          <w:numId w:val="1001"/>
        </w:numPr>
        <w:pStyle w:val="Compact"/>
      </w:pPr>
      <w:r>
        <w:t>Section 6: the limitation is stated explicitly — Table 4 rests on a cross-level comparison and cannot test a mechanism.</w:t>
      </w:r>
    </w:p>
    <w:p>
      <w:pPr>
        <w:pStyle w:val="Heading2"/>
      </w:pPr>
      <w:r>
        <w:t>Comment 2 — Engagement vs achievement outcomes, and k = 2 slopes (Sections 4.2–4.4, 5.1–5.2; Tables 2–4)</w:t>
      </w:r>
    </w:p>
    <w:p>
      <w:pPr>
        <w:pStyle w:val="BlockText"/>
      </w:pPr>
      <w:r>
        <w:t>The Japan comparison combines different constructs and statistics … while the Hofstede meta-regression has only k = 2 and df_resid = 0.</w:t>
      </w:r>
    </w:p>
    <w:p>
      <w:pPr>
        <w:pStyle w:val="FirstParagraph"/>
      </w:pPr>
      <w:r>
        <w:t>I agree on both parts.</w:t>
      </w:r>
    </w:p>
    <w:p>
      <w:pPr>
        <w:pStyle w:val="BodyText"/>
      </w:pPr>
      <w:r>
        <w:t>Engagement and achievement are now separated:</w:t>
      </w:r>
    </w:p>
    <w:p>
      <w:pPr>
        <w:numPr>
          <w:ilvl w:val="0"/>
          <w:numId w:val="1001"/>
        </w:numPr>
        <w:pStyle w:val="Compact"/>
      </w:pPr>
      <w:r>
        <w:t>Section 3.3.1 states that A-25 Tokiwa (Spearman ρ with platform engagement and mastery) and A-31 Rivers (Pearson r with course grade) are compared side by side and not pooled or treated as replications.</w:t>
      </w:r>
    </w:p>
    <w:p>
      <w:pPr>
        <w:numPr>
          <w:ilvl w:val="0"/>
          <w:numId w:val="1001"/>
        </w:numPr>
        <w:pStyle w:val="Compact"/>
      </w:pPr>
      <w:r>
        <w:t>Table 3: the outcome row is relabelled “Engagement / mastery” vs “Achievement: course grade”; the caption notes that the outcomes are not directly comparable.</w:t>
      </w:r>
    </w:p>
    <w:p>
      <w:pPr>
        <w:numPr>
          <w:ilvl w:val="0"/>
          <w:numId w:val="1001"/>
        </w:numPr>
        <w:pStyle w:val="Compact"/>
      </w:pPr>
      <w:r>
        <w:t>Table 4: the two Japan columns are labelled “Tokiwa: engagement (ρ)” and “Rivers: grade (r)”.</w:t>
      </w:r>
    </w:p>
    <w:p>
      <w:pPr>
        <w:numPr>
          <w:ilvl w:val="0"/>
          <w:numId w:val="1001"/>
        </w:numPr>
        <w:pStyle w:val="Compact"/>
      </w:pPr>
      <w:r>
        <w:t>Sections 4.3 and 4.4: state that Tokiwa's values are learning-behaviour outcomes, not achievement, that the two positive Neuroticism values do not replicate one achievement effect, and that only Rivers's r = +0.107 concerns achievement.</w:t>
      </w:r>
    </w:p>
    <w:p>
      <w:pPr>
        <w:pStyle w:val="BodyText"/>
      </w:pPr>
      <w:r>
        <w:t>The k = 2 slopes are presented only as descriptive contrasts:</w:t>
      </w:r>
    </w:p>
    <w:p>
      <w:pPr>
        <w:numPr>
          <w:ilvl w:val="0"/>
          <w:numId w:val="1001"/>
        </w:numPr>
        <w:pStyle w:val="Compact"/>
      </w:pPr>
      <w:r>
        <w:t>The “meta-regression” label is removed for these fits. Section 4.2 is retitled “Hofstede two-country contrasts (descriptive)”; Table 2 is retitled “Hofstede two-country contrasts expressed as slopes”.</w:t>
      </w:r>
    </w:p>
    <w:p>
      <w:pPr>
        <w:numPr>
          <w:ilvl w:val="0"/>
          <w:numId w:val="1001"/>
        </w:numPr>
        <w:pStyle w:val="Compact"/>
      </w:pPr>
      <w:r>
        <w:t>Section 3.3 explains that, with k = 2, each line passes exactly through the two study estimates, so its slope is the Japan – China difference divided by the difference in country scores.</w:t>
      </w:r>
    </w:p>
    <w:p>
      <w:pPr>
        <w:numPr>
          <w:ilvl w:val="0"/>
          <w:numId w:val="1001"/>
        </w:numPr>
        <w:pStyle w:val="Compact"/>
      </w:pPr>
      <w:r>
        <w:t>Sections 5.1 and 5.2 state that the contrast is confounded with instrument, education level, outcome measure, modality and effect-size type.</w:t>
      </w:r>
    </w:p>
    <w:p>
      <w:pPr>
        <w:pStyle w:val="BodyText"/>
      </w:pPr>
      <w:r>
        <w:t>The cultural and causal claims are narrowed throughout. The paper is now positioned as an exploratory methodological and narrative synthesis (Abstract, Section 1, Section 7), and the Neuroticism correspondence is described as a hypothesis for future testing rather than as evidence about academic achievement.</w:t>
      </w:r>
    </w:p>
    <w:p>
      <w:pPr>
        <w:pStyle w:val="Heading2"/>
      </w:pPr>
      <w:r>
        <w:t>Other changes</w:t>
      </w:r>
    </w:p>
    <w:p>
      <w:pPr>
        <w:numPr>
          <w:ilvl w:val="0"/>
          <w:numId w:val="1001"/>
        </w:numPr>
        <w:pStyle w:val="Compact"/>
      </w:pPr>
      <w:r>
        <w:t>CCS CONCEPTS line added after the abstract (Applied computing • Education • E-learning), and the CCS XML code added to the Word file's properties (File &gt; Info &gt; Comments), as described in the conference guidelines.</w:t>
      </w:r>
    </w:p>
    <w:p>
      <w:pPr>
        <w:numPr>
          <w:ilvl w:val="0"/>
          <w:numId w:val="1001"/>
        </w:numPr>
        <w:pStyle w:val="Compact"/>
      </w:pPr>
      <w:r>
        <w:t>In a final check against the source paper, the A-25 Tokiwa (2025) values in Tables 3 and 4 were corrected to the all-subject Spearman ρ reported in Tokiwa (2025, Table 3): Conscientiousness +0.34 to +0.35, Agreeableness +0.23, Neuroticism +0.17 (previously, some values from single subjects or facets had been listed). The text now also states that neither Neuroticism correlation (ρ = +0.17; r = +0.107) is statistically significant. The direction coding in Table 4, and therefore the 3-of-5 correspondence, is unchanged.</w:t>
      </w:r>
    </w:p>
    <w:p>
      <w:pPr>
        <w:numPr>
          <w:ilvl w:val="0"/>
          <w:numId w:val="1001"/>
        </w:numPr>
        <w:pStyle w:val="Compact"/>
      </w:pPr>
      <w:r>
        <w:t>Re-checked against the source papers: (a) the Hofstede &amp; McCrae (2004) values now give the zero-order correlations across 33 countries from their Table 1 (e.g., UAI × N r = +.58, MAS × N r = +.57, PDI × C r = +.52, IDV × E r = +.64); the earlier values were cumulative adjusted R² from their stepwise regressions. All signs, and therefore the Table 4 coding, are unchanged. (b) The account of earlier meta-analyses in Section 2.2 now reports what Mammadov (2022) and Chen et al. (2025) found: Asian samples show larger, not inverted, Extraversion correlations, and Asian Neuroticism correlations are negative, so the positive Japanese Neuroticism direction contrasts with Asian as well as Western evidence. (c) The Hofstede (1986) quotations are given verbatim, Japan's Neuroticism mean is described as the highest of the 56 nations in Schmitt et al. (2007), the A-31 Rivers course is described correctly (an asynchronous communications course), and an unsupported statement about TIPI-J reliability is removed.</w:t>
      </w:r>
    </w:p>
    <w:p>
      <w:pPr>
        <w:numPr>
          <w:ilvl w:val="0"/>
          <w:numId w:val="1001"/>
        </w:numPr>
        <w:pStyle w:val="Compact"/>
      </w:pPr>
      <w:r>
        <w:t>References checked against the source papers (DOI, authors, year, journal, volume, pages): the Minkov &amp; Hofstede (2014) entry is corrected to volume 14, issue 2, pages 161–171, and the paper is now described as a replication of the uncertainty-avoidance dimension rather than as a critique. Section 2.1 now states that Hofstede (2001) has five dimensions and that Indulgence was added later (Hofstede, Hofstede &amp; Minkov 2010, added to the references).</w:t>
      </w:r>
    </w:p>
    <w:p>
      <w:pPr>
        <w:numPr>
          <w:ilvl w:val="0"/>
          <w:numId w:val="1001"/>
        </w:numPr>
        <w:pStyle w:val="Compact"/>
      </w:pPr>
      <w:r>
        <w:t>Formatting: the title is in Title Case, keywords are comma-delimited, references are listed alphabetically, and three references that were not cited in the text were removed.</w:t>
      </w:r>
    </w:p>
    <w:p>
      <w:pPr>
        <w:numPr>
          <w:ilvl w:val="0"/>
          <w:numId w:val="1001"/>
        </w:numPr>
        <w:pStyle w:val="Compact"/>
      </w:pPr>
      <w:r>
        <w:t>Hofstede country scores updated to the current values of The Culture Factor Group (formerly Hofstede Insights; retrieved 27 October 2026), which revised the Individualism and Long-Term Orientation scores in October 2023: Japan IDV 46 → 62, LTO 88 → 100; China IDV 20 → 43, LTO 87 → 77 (PDI, MAS, UAI and IND are unchanged). Only the IDV and LTO rows of Table 2 change (e.g., Extraversion × IDV −0.0039 → −0.0053; Openness × LTO −0.4303 → −0.0187); all signs, Table 1, the region contrast, Tables 3 and 4 and the 3-of-5 correspondence are unchanged. Sections 2.1, 3.2, 4.2 and 5.2 and the note under Table 2 are reworded accordingly (the two countries now differ by 19 points on IDV and 23 points on LTO, so the earlier statements that PDI and IDV slopes are mirror images and that the LTO scores differ by a single point are removed). The reference “Hofstede Insights (2024)” is replaced by “The Culture Factor Group (2026)”, because the hofstede-insights.com domain no longer serves the tool.</w:t>
      </w:r>
    </w:p>
    <w:p>
      <w:pPr>
        <w:numPr>
          <w:ilvl w:val="0"/>
          <w:numId w:val="1001"/>
        </w:numPr>
        <w:pStyle w:val="Compact"/>
      </w:pPr>
      <w:r>
        <w:t>Abstract: the Asian pooled r = −0.095 and the Knapp–Hartung contrast F(1, 7) = 12.94, p = .009 are now attributed to the re-analysis in this paper rather than to the parent preprint, consistent with Section 1.</w:t>
      </w:r>
    </w:p>
    <w:p>
      <w:pPr>
        <w:numPr>
          <w:ilvl w:val="0"/>
          <w:numId w:val="1001"/>
        </w:numPr>
        <w:pStyle w:val="Compact"/>
      </w:pPr>
      <w:r>
        <w:t>Statistical corrections from my email of 27 October 2026 (corrected region contrast, Peterson–Brown β-to-r conversion for Yu 2021, exact REML τ², corrected text for Table 2, numbered headings).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2026-10-27T10:00:42Z</dcterms:created>
  <dcterms:modified xsi:type="dcterms:W3CDTF">2026-10-27T10:00:42Z</dcterms:modified>
</cp:coreProperties>
</file>

<file path=docProps/custom.xml><?xml version="1.0" encoding="utf-8"?>
<Properties xmlns="http://schemas.openxmlformats.org/officeDocument/2006/custom-properties" xmlns:vt="http://schemas.openxmlformats.org/officeDocument/2006/docPropsVTypes"/>
</file>