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76" w:lineRule="auto"/>
        <w:jc w:val="left"/>
      </w:pPr>
      <w:r>
        <w:rPr>
          <w:rFonts w:ascii="Calibri" w:hAnsi="Calibri"/>
          <w:sz w:val="22"/>
        </w:rPr>
        <w:t>Eisuke Tokiwa, MEng</w:t>
      </w:r>
    </w:p>
    <w:p>
      <w:pPr>
        <w:spacing w:after="0" w:line="276" w:lineRule="auto"/>
        <w:jc w:val="left"/>
      </w:pPr>
      <w:r>
        <w:rPr>
          <w:rFonts w:ascii="Calibri" w:hAnsi="Calibri"/>
          <w:sz w:val="22"/>
        </w:rPr>
        <w:t>Founder, SUNBLAZE Co., Ltd.</w:t>
      </w:r>
    </w:p>
    <w:p>
      <w:pPr>
        <w:spacing w:after="0" w:line="276" w:lineRule="auto"/>
        <w:jc w:val="left"/>
      </w:pPr>
      <w:r>
        <w:rPr>
          <w:rFonts w:ascii="Calibri" w:hAnsi="Calibri"/>
          <w:sz w:val="22"/>
        </w:rPr>
        <w:t>Tokyo, Japan</w:t>
      </w:r>
    </w:p>
    <w:p>
      <w:pPr>
        <w:spacing w:after="0" w:line="276" w:lineRule="auto"/>
        <w:jc w:val="left"/>
      </w:pPr>
      <w:r>
        <w:rPr>
          <w:rFonts w:ascii="Calibri" w:hAnsi="Calibri"/>
          <w:sz w:val="22"/>
        </w:rPr>
        <w:t>ORCID: 0009-0009-7124-6669</w:t>
      </w:r>
    </w:p>
    <w:p>
      <w:pPr>
        <w:spacing w:after="0" w:line="276" w:lineRule="auto"/>
        <w:jc w:val="left"/>
      </w:pPr>
      <w:r>
        <w:rPr>
          <w:rFonts w:ascii="Calibri" w:hAnsi="Calibri"/>
          <w:sz w:val="22"/>
        </w:rPr>
        <w:t>Email: eisuke.tokiwa@sunblaze.jp</w:t>
      </w:r>
    </w:p>
    <w:p>
      <w:pPr>
        <w:spacing w:after="0" w:line="276" w:lineRule="auto"/>
        <w:jc w:val="left"/>
      </w:pPr>
    </w:p>
    <w:p>
      <w:pPr>
        <w:spacing w:after="120" w:line="276" w:lineRule="auto"/>
        <w:jc w:val="left"/>
      </w:pPr>
      <w:r>
        <w:rPr>
          <w:rFonts w:ascii="Calibri" w:hAnsi="Calibri"/>
          <w:sz w:val="22"/>
        </w:rPr>
        <w:t>May 10, 2026</w:t>
      </w:r>
    </w:p>
    <w:p>
      <w:pPr>
        <w:spacing w:after="0" w:line="276" w:lineRule="auto"/>
        <w:jc w:val="left"/>
      </w:pPr>
    </w:p>
    <w:p>
      <w:pPr>
        <w:spacing w:after="0" w:line="276" w:lineRule="auto"/>
        <w:jc w:val="left"/>
      </w:pPr>
      <w:r>
        <w:rPr>
          <w:rFonts w:ascii="Calibri" w:hAnsi="Calibri"/>
          <w:sz w:val="22"/>
        </w:rPr>
        <w:t>To the Editors,</w:t>
      </w:r>
    </w:p>
    <w:p>
      <w:pPr>
        <w:spacing w:after="0" w:line="276" w:lineRule="auto"/>
        <w:jc w:val="left"/>
      </w:pPr>
      <w:r>
        <w:rPr>
          <w:rFonts w:ascii="Calibri" w:hAnsi="Calibri"/>
          <w:sz w:val="22"/>
        </w:rPr>
        <w:t>Humanities and Social Sciences Communications</w:t>
      </w:r>
    </w:p>
    <w:p>
      <w:pPr>
        <w:spacing w:after="0" w:line="276" w:lineRule="auto"/>
        <w:jc w:val="left"/>
      </w:pPr>
    </w:p>
    <w:p>
      <w:pPr>
        <w:spacing w:after="120" w:line="276" w:lineRule="auto"/>
        <w:jc w:val="left"/>
      </w:pPr>
      <w:r>
        <w:rPr>
          <w:rFonts w:ascii="Calibri" w:hAnsi="Calibri"/>
          <w:sz w:val="22"/>
        </w:rPr>
        <w:t>Dear Editors,</w:t>
      </w:r>
    </w:p>
    <w:p>
      <w:pPr>
        <w:spacing w:after="120" w:line="276" w:lineRule="auto"/>
        <w:jc w:val="left"/>
      </w:pPr>
      <w:r>
        <w:rPr>
          <w:rFonts w:ascii="Calibri" w:hAnsi="Calibri"/>
          <w:sz w:val="22"/>
        </w:rPr>
        <w:t>I am pleased to submit “Big Five Personality Traits and Academic Achievement in Online Learning Environments: A Systematic Review and Meta-Analysis” for consideration as an Article in Humanities and Social Sciences Communications.</w:t>
      </w:r>
    </w:p>
    <w:p>
      <w:pPr>
        <w:spacing w:after="120" w:line="276" w:lineRule="auto"/>
        <w:jc w:val="left"/>
      </w:pPr>
      <w:r>
        <w:rPr>
          <w:rFonts w:ascii="Calibri" w:hAnsi="Calibri"/>
          <w:b/>
          <w:sz w:val="22"/>
        </w:rPr>
        <w:t>Context and importance.</w:t>
      </w:r>
      <w:r>
        <w:rPr>
          <w:rFonts w:ascii="Calibri" w:hAnsi="Calibri"/>
          <w:sz w:val="22"/>
        </w:rPr>
        <w:t xml:space="preserve"> Eight prior meta-analyses (Poropat, 2009; McAbee &amp; Oswald, 2013; Vedel, 2014; Stajkovic et al., 2018; Mammadov, 2022; Zell &amp; Lesick, 2022; Meyer et al., 2023; Chen et al., 2025) have established Conscientiousness as the strongest Big Five predictor of academic achievement (ρ ≈ .19–.28), with smaller but reliable Openness effects. None of these syntheses, however, has tested learning modality—online, blended, or face-to-face—as a substantive moderator. As post-secondary instruction is increasingly delivered online, the question of whether established personality–achievement relationships transfer to technology-mediated environments is empirically open and societally consequential.</w:t>
      </w:r>
    </w:p>
    <w:p>
      <w:pPr>
        <w:spacing w:after="120" w:line="276" w:lineRule="auto"/>
        <w:jc w:val="left"/>
      </w:pPr>
      <w:r>
        <w:rPr>
          <w:rFonts w:ascii="Calibri" w:hAnsi="Calibri"/>
          <w:b/>
          <w:sz w:val="22"/>
        </w:rPr>
        <w:t>Contribution.</w:t>
      </w:r>
      <w:r>
        <w:rPr>
          <w:rFonts w:ascii="Calibri" w:hAnsi="Calibri"/>
          <w:sz w:val="22"/>
        </w:rPr>
        <w:t xml:space="preserve"> This pre-registered (OSF Registries e5w47, registered 23 April 2026) PRISMA 2020-compliant review is, to my knowledge, the first quantitative synthesis of this question. Drawing on 31 primary studies (10 contributing direct correlations to the primary pool; pooled N = 3,384), I report online-specific pooled estimates for each Big Five trait (Conscientiousness r = .167, 95% CI [.089, .243]; Agreeableness r = .112; Openness r = .086; Neuroticism r = .018; Extraversion r = .002), and document two highly significant pre-registered moderator effects: Extraversion × Region (Asian r = −.131 vs. non-Asian r = .050; Q_between = 46.43, p &lt; .001) and Extraversion × Outcome Type (objective r = −.038 vs. self-rated r = .117; Q_between = 17.30, p &lt; .001). The findings preliminarily support a technology-mediated extension of the Personality–Achievement Saturation Hypothesis and document novel cultural- and outcome-dependent shifts in the Extraversion–achievement link.</w:t>
      </w:r>
    </w:p>
    <w:p>
      <w:pPr>
        <w:spacing w:after="120" w:line="276" w:lineRule="auto"/>
        <w:jc w:val="left"/>
      </w:pPr>
      <w:r>
        <w:rPr>
          <w:rFonts w:ascii="Calibri" w:hAnsi="Calibri"/>
          <w:b/>
          <w:sz w:val="22"/>
        </w:rPr>
        <w:t>Fit with the journal.</w:t>
      </w:r>
      <w:r>
        <w:rPr>
          <w:rFonts w:ascii="Calibri" w:hAnsi="Calibri"/>
          <w:sz w:val="22"/>
        </w:rPr>
        <w:t xml:space="preserve"> The work sits at the interdisciplinary intersection of educational psychology, individual differences, and the social transformation of learning under technology mediation—questions that extend beyond any single subfield. The findings are directly relevant to educators designing post-pandemic online curricula, to psychologists refining theories of personality–context interaction, and to policymakers concerned with cultural variation in technology-mediated education—audiences that align with the broad social-science readership of Humanities and Social Sciences Communications.</w:t>
      </w:r>
    </w:p>
    <w:p>
      <w:pPr>
        <w:spacing w:after="120" w:line="276" w:lineRule="auto"/>
        <w:jc w:val="left"/>
      </w:pPr>
      <w:r>
        <w:rPr>
          <w:rFonts w:ascii="Calibri" w:hAnsi="Calibri"/>
          <w:b/>
          <w:sz w:val="22"/>
        </w:rPr>
        <w:t>Open science.</w:t>
      </w:r>
      <w:r>
        <w:rPr>
          <w:rFonts w:ascii="Calibri" w:hAnsi="Calibri"/>
          <w:sz w:val="22"/>
        </w:rPr>
        <w:t xml:space="preserve"> Pre-registration: https://doi.org/10.17605/OSF.IO/E5W47. Preprint: https://doi.org/10.21203/rs.3.rs-9513298/v1 (Research Square v1, posted 27 April 2026). Data, analysis code, search logs, and supplementary materials: https://doi.org/10.17605/OSF.IO/79M5J (seven OSF components covering protocol, search, screening, extraction, risk of bias, analysis, and the article-level DOI index). A version-controlled mirror is maintained at https://github.com/etoki/paper.</w:t>
      </w:r>
    </w:p>
    <w:p>
      <w:pPr>
        <w:spacing w:after="120" w:line="276" w:lineRule="auto"/>
        <w:jc w:val="left"/>
      </w:pPr>
      <w:r>
        <w:rPr>
          <w:rFonts w:ascii="Calibri" w:hAnsi="Calibri"/>
          <w:b/>
          <w:sz w:val="22"/>
        </w:rPr>
        <w:t>Conflict of interest.</w:t>
      </w:r>
      <w:r>
        <w:rPr>
          <w:rFonts w:ascii="Calibri" w:hAnsi="Calibri"/>
          <w:sz w:val="22"/>
        </w:rPr>
        <w:t xml:space="preserve"> I declare no financial conflicts. One of my own previously published primary studies — Tokiwa, E. (2025), “Who excels in online learning in Japan?”, Frontiers in Psychology, 16, 1420996 (CC BY, https://doi.org/10.3389/fpsyg.2025.1420996) — is potentially eligible for inclusion; this is addressed through a pre-specified sensitivity analysis excluding the author’s own study, which leaves the primary conclusions unchanged.</w:t>
      </w:r>
    </w:p>
    <w:p>
      <w:pPr>
        <w:spacing w:after="120" w:line="276" w:lineRule="auto"/>
        <w:jc w:val="left"/>
      </w:pPr>
      <w:r>
        <w:rPr>
          <w:rFonts w:ascii="Calibri" w:hAnsi="Calibri"/>
          <w:sz w:val="22"/>
        </w:rPr>
        <w:t>The manuscript has not been published elsewhere and is not under consideration by another journal. The submission has been prepared in compliance with the journal’s double-anonymous peer review policy: identifying information has been removed from the main manuscript and supplementary files, and the author contribution statement is provided through the submission portal rather than in the manuscript itself. I am the sole author and accept full accountability for all aspects of the work.</w:t>
      </w:r>
    </w:p>
    <w:p>
      <w:pPr>
        <w:spacing w:after="120" w:line="276" w:lineRule="auto"/>
        <w:jc w:val="left"/>
      </w:pPr>
      <w:r>
        <w:rPr>
          <w:rFonts w:ascii="Calibri" w:hAnsi="Calibri"/>
          <w:sz w:val="22"/>
        </w:rPr>
        <w:t>Thank you for considering this submission.</w:t>
      </w:r>
    </w:p>
    <w:p>
      <w:pPr>
        <w:spacing w:after="120" w:line="276" w:lineRule="auto"/>
        <w:jc w:val="left"/>
      </w:pPr>
      <w:r>
        <w:rPr>
          <w:rFonts w:ascii="Calibri" w:hAnsi="Calibri"/>
          <w:sz w:val="22"/>
        </w:rPr>
        <w:t>Sincerely,</w:t>
      </w:r>
    </w:p>
    <w:p>
      <w:pPr>
        <w:spacing w:after="0" w:line="276" w:lineRule="auto"/>
        <w:jc w:val="left"/>
      </w:pPr>
      <w:r>
        <w:rPr>
          <w:rFonts w:ascii="Calibri" w:hAnsi="Calibri"/>
          <w:sz w:val="22"/>
        </w:rPr>
        <w:t>Eisuke Tokiwa</w:t>
      </w:r>
    </w:p>
    <w:p>
      <w:pPr>
        <w:spacing w:after="0" w:line="276" w:lineRule="auto"/>
        <w:jc w:val="left"/>
      </w:pPr>
      <w:r>
        <w:rPr>
          <w:rFonts w:ascii="Calibri" w:hAnsi="Calibri"/>
          <w:sz w:val="22"/>
        </w:rPr>
        <w:t>Founder, SUNBLAZE Co., Ltd.</w:t>
      </w:r>
    </w:p>
    <w:p>
      <w:pPr>
        <w:spacing w:after="0" w:line="276" w:lineRule="auto"/>
        <w:jc w:val="left"/>
      </w:pPr>
      <w:r>
        <w:rPr>
          <w:rFonts w:ascii="Calibri" w:hAnsi="Calibri"/>
          <w:sz w:val="22"/>
        </w:rPr>
        <w:t>Tokyo, Japan</w:t>
      </w:r>
    </w:p>
    <w:p>
      <w:pPr>
        <w:spacing w:after="0" w:line="276" w:lineRule="auto"/>
        <w:jc w:val="left"/>
      </w:pPr>
      <w:r>
        <w:rPr>
          <w:rFonts w:ascii="Calibri" w:hAnsi="Calibri"/>
          <w:sz w:val="22"/>
        </w:rPr>
        <w:t>ORCID: 0009-0009-7124-6669</w:t>
      </w:r>
    </w:p>
    <w:p>
      <w:pPr>
        <w:spacing w:after="0" w:line="276" w:lineRule="auto"/>
        <w:jc w:val="left"/>
      </w:pPr>
      <w:r>
        <w:rPr>
          <w:rFonts w:ascii="Calibri" w:hAnsi="Calibri"/>
          <w:sz w:val="22"/>
        </w:rPr>
        <w:t>Email: eisuke.tokiwa@sunblaze.jp</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