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Eisuke Tokiwa https://orcid.org/0009-0009-7124-6669</w:t>
      </w:r>
    </w:p>
    <w:p>
      <w:pPr>
        <w:spacing w:line="480" w:lineRule="auto" w:before="0" w:after="0"/>
        <w:ind w:firstLine="720"/>
      </w:pPr>
      <w:r>
        <w:rPr>
          <w:rFonts w:ascii="Times New Roman" w:hAnsi="Times New Roman" w:eastAsia="Times New Roman"/>
          <w:sz w:val="24"/>
        </w:rPr>
        <w:t>The author has no known conflict of interest to disclose beyond that stated in the Declarations section, where a pre-specified sensitivity analysis addresses the author's own potentially eligible primary study. This research received no external funding. The systematic review and meta-analysis was pre-registered on OSF Registries (https://doi.org/10.17605/OSF.IO/E5W47) prior to data extraction, and all data, analysis code, and supplementary materials are publicly available in the associated OSF project (https://doi.org/10.17605/OSF.IO/79M5J).</w:t>
      </w:r>
    </w:p>
    <w:p>
      <w:pPr>
        <w:spacing w:line="480" w:lineRule="auto" w:before="0" w:after="0"/>
        <w:ind w:firstLine="720"/>
      </w:pPr>
      <w:r>
        <w:rPr>
          <w:rFonts w:ascii="Times New Roman" w:hAnsi="Times New Roman" w:eastAsia="Times New Roman"/>
          <w:sz w:val="24"/>
        </w:rPr>
        <w:t>Correspondence concerning this article should be addressed to Eisuke Tokiwa, SUNBLAZE Co., Ltd., Tokyo, Japan. Email: eisuke.tokiwa@sunblaze.jp</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(https://doi.org/10.17605/OSF.IO/79M5J).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risk-of-bias ratings, figures, and supplementary materials are publicly available on the associated OSF project (https://doi.org/10.17605/OSF.IO/79M5J). Each component has been assigned a DOI for direct citation: 01_protocol (https://doi.org/10.17605/OSF.IO/7FRGH) — protocol, literature review, deep reading notes, and manuscript drafts; 02_search (https://doi.org/10.17605/OSF.IO/UVJDY) — search log and candidate studies; 03_screening (https://doi.org/10.17605/OSF.IO/YH28G) — PRISMA flow counts (forthcoming); 04_extraction (https://doi.org/10.17605/OSF.IO/5UW98) — data extraction CSV and coding manual; 05_risk_of_bias (https://doi.org/10.17605/OSF.IO/3XYNE) — JBI risk-of-bias ratings (forthcoming); 06_analysis (https://doi.org/10.17605/OSF.IO/Q4XKB) — Python analysis scripts, pooled results, moderator analyses, sensitivity analyses, and generating code for all tables and figures; and 07_pdf_index (https://doi.org/10.17605/OSF.IO/XZ6PT) — DOI index of included studies.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investigators of the included primary studies for making their correlation matrices and sample characteristics available in the published record, and the maintainers of the open-access repositories (OSF, Research Square, PsyArXiv, arXiv, and institutional repositories) that enabled retrieval of full-text articles. The author also acknowledges the developers of the open-source scientific Python stack (NumPy, SciPy, pandas, Matplotlib, statsmodels, and python-docx) on which the analyses and manuscript preparation depended. No funding bodies, research assistants, or third-party organizations contributed to the design, conduct, or reporting of this review.</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Existing meta-analyses of Big Five personality traits and academic achievement have pooled face-to-face, blended, and online samples without testing delivery mode as a moderator. This pre-registered systematic review and meta-analysis is the first quantitative synthesis dedicated to online learning environments. Following PRISMA 2020 standards, 31 primary studies catalogued in Table 1 reporting Big Five personality and academic achievement in online, blended, or MOOC environments were synthesized.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Pearson correlations to the primary achievement pool, analysed with random-effects meta-analysis using Hartung-Knapp-Sidik-Jonkman adjustment on the Fisher </w:t>
      </w:r>
      <w:r>
        <w:rPr>
          <w:rFonts w:ascii="Times New Roman" w:hAnsi="Times New Roman" w:eastAsia="Times New Roman"/>
          <w:i/>
          <w:sz w:val="24"/>
        </w:rPr>
        <w:t>z</w:t>
      </w:r>
      <w:r>
        <w:rPr>
          <w:rFonts w:ascii="Times New Roman" w:hAnsi="Times New Roman" w:eastAsia="Times New Roman"/>
          <w:sz w:val="24"/>
        </w:rPr>
        <w:t xml:space="preserve"> scale. Conscientiousness was the strongest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and Extraversion (</w:t>
      </w:r>
      <w:r>
        <w:rPr>
          <w:rFonts w:ascii="Times New Roman" w:hAnsi="Times New Roman" w:eastAsia="Times New Roman"/>
          <w:i/>
          <w:sz w:val="24"/>
        </w:rPr>
        <w:t>r</w:t>
      </w:r>
      <w:r>
        <w:rPr>
          <w:rFonts w:ascii="Times New Roman" w:hAnsi="Times New Roman" w:eastAsia="Times New Roman"/>
          <w:sz w:val="24"/>
        </w:rPr>
        <w:t xml:space="preserve"> = .002).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Findings provide preliminary support for the Personality-Achievement Saturation Hypothesis extended to technology-mediated learning and document novel cultural- and outcome-type-dependent shifts in the Extraversion-achievement link. GRADE confidence ranged from Moderate (Conscientiousness, Extraversion) to Low (Openness, Agreeableness, Neuroticism). Online learning modifies, but does not fundamentally transform, the 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(14 of 31 studies); NEO-family, IPIP, HEXACO, and TIPI/TIPI-J together contributed fewer than three studies each. Within the primary achievement pool, Conscientiousness estimates were comparable across BFI-44 (</w:t>
      </w:r>
      <w:r>
        <w:rPr>
          <w:rFonts w:ascii="Times New Roman" w:hAnsi="Times New Roman" w:eastAsia="Times New Roman"/>
          <w:i/>
          <w:sz w:val="24"/>
        </w:rPr>
        <w:t>r</w:t>
      </w:r>
      <w:r>
        <w:rPr>
          <w:rFonts w:ascii="Times New Roman" w:hAnsi="Times New Roman" w:eastAsia="Times New Roman"/>
          <w:sz w:val="24"/>
        </w:rPr>
        <w:t xml:space="preserve"> range = .068 to .49),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Consistent with McAbee and Oswald (2013), the short-form Mini-IPIP and TIPI produced the smallest magnitudes, but the k-per-instrument was insufficient for inferential testing. (b) Publication year: the eligible studies spanned 2003 to 2025, with concentration in 2020–2023. A scatter-plot inspection of year vs. effect size (not reported) indicated no systematic trend. (c) Log-sample size: larger studies (Wang 2023 </w:t>
      </w:r>
      <w:r>
        <w:rPr>
          <w:rFonts w:ascii="Times New Roman" w:hAnsi="Times New Roman" w:eastAsia="Times New Roman"/>
          <w:i/>
          <w:sz w:val="24"/>
        </w:rPr>
        <w:t>N</w:t>
      </w:r>
      <w:r>
        <w:rPr>
          <w:rFonts w:ascii="Times New Roman" w:hAnsi="Times New Roman" w:eastAsia="Times New Roman"/>
          <w:sz w:val="24"/>
        </w:rPr>
        <w:t xml:space="preserve"> = 1,625; Yu 2021 </w:t>
      </w:r>
      <w:r>
        <w:rPr>
          <w:rFonts w:ascii="Times New Roman" w:hAnsi="Times New Roman" w:eastAsia="Times New Roman"/>
          <w:i/>
          <w:sz w:val="24"/>
        </w:rPr>
        <w:t>N</w:t>
      </w:r>
      <w:r>
        <w:rPr>
          <w:rFonts w:ascii="Times New Roman" w:hAnsi="Times New Roman" w:eastAsia="Times New Roman"/>
          <w:sz w:val="24"/>
        </w:rPr>
        <w:t xml:space="preserve"> = 1,152; Bahçekapılı &amp; Karaman 2020 </w:t>
      </w:r>
      <w:r>
        <w:rPr>
          <w:rFonts w:ascii="Times New Roman" w:hAnsi="Times New Roman" w:eastAsia="Times New Roman"/>
          <w:i/>
          <w:sz w:val="24"/>
        </w:rPr>
        <w:t>N</w:t>
      </w:r>
      <w:r>
        <w:rPr>
          <w:rFonts w:ascii="Times New Roman" w:hAnsi="Times New Roman" w:eastAsia="Times New Roman"/>
          <w:sz w:val="24"/>
        </w:rPr>
        <w:t xml:space="preserve"> = 525; Alkış &amp; Taşkaya Temizel 2018 online subsample </w:t>
      </w:r>
      <w:r>
        <w:rPr>
          <w:rFonts w:ascii="Times New Roman" w:hAnsi="Times New Roman" w:eastAsia="Times New Roman"/>
          <w:i/>
          <w:sz w:val="24"/>
        </w:rPr>
        <w:t>N</w:t>
      </w:r>
      <w:r>
        <w:rPr>
          <w:rFonts w:ascii="Times New Roman" w:hAnsi="Times New Roman" w:eastAsia="Times New Roman"/>
          <w:sz w:val="24"/>
        </w:rPr>
        <w:t xml:space="preserve"> = 189;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Rodrigues et al. 2024 </w:t>
      </w:r>
      <w:r>
        <w:rPr>
          <w:rFonts w:ascii="Times New Roman" w:hAnsi="Times New Roman" w:eastAsia="Times New Roman"/>
          <w:i/>
          <w:sz w:val="24"/>
        </w:rPr>
        <w:t>N</w:t>
      </w:r>
      <w:r>
        <w:rPr>
          <w:rFonts w:ascii="Times New Roman" w:hAnsi="Times New Roman" w:eastAsia="Times New Roman"/>
          <w:sz w:val="24"/>
        </w:rPr>
        <w:t xml:space="preserve"> = 260; Zheng &amp; Zheng 2023 </w:t>
      </w:r>
      <w:r>
        <w:rPr>
          <w:rFonts w:ascii="Times New Roman" w:hAnsi="Times New Roman" w:eastAsia="Times New Roman"/>
          <w:i/>
          <w:sz w:val="24"/>
        </w:rPr>
        <w:t>N</w:t>
      </w:r>
      <w:r>
        <w:rPr>
          <w:rFonts w:ascii="Times New Roman" w:hAnsi="Times New Roman" w:eastAsia="Times New Roman"/>
          <w:sz w:val="24"/>
        </w:rPr>
        <w:t xml:space="preserve"> = 282)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the smallest studies in the corpus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only 2 non-fully-online studies (A-02 blended subsample; A-28 MOOC) could be separately identified, precluding quantitative modality moderation. (f) Education level: only 3 K-12 studies (A-10, A-25, A-26) were identified, of which only A-26 contributed to the primary achievement pool; the K-12 contribution was therefore anchored in a single Chinese sample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(https://doi.org/10.17605/OSF.IO/79M5J), specifically in the 06_analysis component (https://doi.org/10.17605/OSF.IO/Q4XKB).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five were excluded for measuring a non-Big-Five personality framework (MBTI, Proactive Personality, TAM, TUE, and other non-FFM operationalization), four were excluded for a fully face-to-face modality (A-09, A-10, A-14, A-16), one was excluded for sample overlap (A-05 with A-04), and one was excluded because effect sizes were not extractable (A-24). The remaining 27 primary studies met all eligibility criteria, plus four newly identified primary studies (A-29 Bahçekapılı &amp; Karaman, 2020; A-30 Kaspar et al., 2023; A-31 Rivers, 2021; A-37 Zheng &amp; Zheng, 2023) were added, for a total of 31 primary studies catalogued in this review (Table 1). Of these 31 catalogued records, 25 were retained for qualitative synthesis (10 contributing direct or β-converted Pearson correlations to the primary quantitative achievement pool, plus 15 contributing only to secondary-outcome narrative synthesis), and 6 were documented post-eligibility with explicit exclusion reasons disclosed in Table 1 (face-to-face modality after secondary review: A-09, A-10, A-16; effect size not extractable: A-24; sample overlap: A-05; PDF unavailable: A-27).</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catalogued primary studies, two of the 10 contributing to the primary quantitative pool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(A-28 Yu, 2021 and A-30 Kaspar et al., 2023), and one was flagged as a conflict-of-interest study because it is the present author's own prior primary research (A-25 Tokiwa, 2025; Tokiwa is in the qualitative-synthesis retained set but did not contribute extractable </w:t>
      </w:r>
      <w:r>
        <w:rPr>
          <w:rFonts w:ascii="Times New Roman" w:hAnsi="Times New Roman" w:eastAsia="Times New Roman"/>
          <w:i/>
          <w:sz w:val="24"/>
        </w:rPr>
        <w:t>r</w:t>
      </w:r>
      <w:r>
        <w:rPr>
          <w:rFonts w:ascii="Times New Roman" w:hAnsi="Times New Roman" w:eastAsia="Times New Roman"/>
          <w:sz w:val="24"/>
        </w:rPr>
        <w:t xml:space="preserve"> values to the primary pool).</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31 catalogued primary studies are presented in Table 1. Publication years ranged from 2003 to 2025, with a marked acceleration in the COVID-19 era (2020–2022), during which approximately half of the eligible studies were conducted. Analytic sample sizes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approximately 287. The 12 studies contributing direct Pearson correlations to the primary achievement pool aggregated a total sample of 3,384 participants.</w:t>
      </w:r>
    </w:p>
    <w:p>
      <w:pPr>
        <w:spacing w:line="480" w:lineRule="auto" w:before="0" w:after="0"/>
        <w:ind w:firstLine="720"/>
      </w:pPr>
      <w:r>
        <w:rPr>
          <w:rFonts w:ascii="Times New Roman" w:hAnsi="Times New Roman" w:eastAsia="Times New Roman"/>
          <w:sz w:val="24"/>
        </w:rPr>
        <w:t>The distribution of studies across learning modality was dominated by fully online modalities (27 of 31 studies), with the remainder classified as blended (A-02 has a blended subsample; reported as a separate effect size) or MOOC-specific (A-28 Yu, 2021). Within fully online, the asynchronous/synchronous distinction was explicitly reported for only 9 studies; these comprised 5 primarily asynchronous and 4 synchronous or mixed contexts. Education levels comprised K-12 (2 studies: A-25, A-26; A-10 was identified as a K-12 record but excluded as face-to-face), undergraduate (22 studies), mixed undergraduate/graduate (5 studies), and graduate only (1 study: A-37 Zheng &amp; Zheng, 2023). Regional distribution, important for the pre-registered Asian-amplification moderator analysis, was as follows: Asia (13 studies; includes East Asian and Middle Eastern samples), Europe (8 studies), North America (5 studies), and Other (1 study: A-24 Tunisia). Era coding, for the era moderator, yielded 7 pre-COVID, 15 COVID-era, and 7 post-COVID or mixed-era studies; 2 studies spanned multiple eras.</w:t>
      </w:r>
    </w:p>
    <w:p>
      <w:pPr>
        <w:spacing w:line="480" w:lineRule="auto" w:before="0" w:after="0"/>
        <w:ind w:firstLine="720"/>
      </w:pPr>
      <w:r>
        <w:rPr>
          <w:rFonts w:ascii="Times New Roman" w:hAnsi="Times New Roman" w:eastAsia="Times New Roman"/>
          <w:sz w:val="24"/>
        </w:rPr>
        <w:t>Personality measurement instruments used across the included studies comprised the Big Five Inventory family (BFI-44, BFI-2, BFI-S; 14 studies), the NEO Personality Inventory family (NEO-FFI, NEO-PI-R; 3 studies), the International Personality Item Pool (IPIP, Mini-IPIP; 3 studies), the HEXACO Personality Inventory (1 study: A-19 MacLean, 2022), the Ten-Item Personality Inventory (TIPI, TIPI-J; 2 studies), and other validated Big Five–aligned scales (Sahinidis's 30-item Big Five, Chinese-language Big Five scales; 8 studies). Academic achievement outcomes were operationalized as GPA or course grade (6 studies), standardized exam or quiz score (2 studies), MOOC platform composite (1 study: A-28 Yu, 2021), self-rated performance (3 studies), or indirect proxies such as procrastination and engagement subscales (4 studies). Secondary outcomes—satisfaction, engagement, or preference—were the primary or only outcome in the remaining 15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31 catalogued studies was 5.6 (</w:t>
      </w:r>
      <w:r>
        <w:rPr>
          <w:rFonts w:ascii="Times New Roman" w:hAnsi="Times New Roman" w:eastAsia="Times New Roman"/>
          <w:i/>
          <w:sz w:val="24"/>
        </w:rPr>
        <w:t>SD</w:t>
      </w:r>
      <w:r>
        <w:rPr>
          <w:rFonts w:ascii="Times New Roman" w:hAnsi="Times New Roman" w:eastAsia="Times New Roman"/>
          <w:sz w:val="24"/>
        </w:rPr>
        <w:t xml:space="preserve"> = 1.1, range = 4–8). Twenty-four studies scored at or above the pre-specified low-bias threshold of 5, while seven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Chinese samples in the primary corpus (Yu, 2021; Wang et al., 2023) showed amplified Agreeableness effects (converted </w:t>
      </w:r>
      <w:r>
        <w:rPr>
          <w:rFonts w:ascii="Times New Roman" w:hAnsi="Times New Roman" w:eastAsia="Times New Roman"/>
          <w:i/>
          <w:sz w:val="24"/>
        </w:rPr>
        <w:t>β</w:t>
      </w:r>
      <w:r>
        <w:rPr>
          <w:rFonts w:ascii="Times New Roman" w:hAnsi="Times New Roman" w:eastAsia="Times New Roman"/>
          <w:sz w:val="24"/>
        </w:rPr>
        <w:t xml:space="preserve"> = .442 and </w:t>
      </w:r>
      <w:r>
        <w:rPr>
          <w:rFonts w:ascii="Times New Roman" w:hAnsi="Times New Roman" w:eastAsia="Times New Roman"/>
          <w:i/>
          <w:sz w:val="24"/>
        </w:rPr>
        <w:t>β</w:t>
      </w:r>
      <w:r>
        <w:rPr>
          <w:rFonts w:ascii="Times New Roman" w:hAnsi="Times New Roman" w:eastAsia="Times New Roman"/>
          <w:sz w:val="24"/>
        </w:rPr>
        <w:t xml:space="preserve"> = .112, respectively), contributing to the higher pooled estimate; this is explored in the region moderator analysis.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Primary-study signs were mixed: Rodrigues et al. (2024) and Baruth and Cohen (2023) reported negative associations with satisfaction or well-being, whereas Yu (2021) reported a weakly positive association, and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was under-represented (</w:t>
      </w:r>
      <w:r>
        <w:rPr>
          <w:rFonts w:ascii="Times New Roman" w:hAnsi="Times New Roman" w:eastAsia="Times New Roman"/>
          <w:i/>
          <w:sz w:val="24"/>
        </w:rPr>
        <w:t>k</w:t>
      </w:r>
      <w:r>
        <w:rPr>
          <w:rFonts w:ascii="Times New Roman" w:hAnsi="Times New Roman" w:eastAsia="Times New Roman"/>
          <w:sz w:val="24"/>
        </w:rPr>
        <w:t xml:space="preserve"> = 2 studies explicitly post-COVID) and could not be isolated as a distinct subgroup.</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most influential single study for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.066) and Rivers (2021) as influential for Extraversion (removal shifted </w:t>
      </w:r>
      <w:r>
        <w:rPr>
          <w:rFonts w:ascii="Times New Roman" w:hAnsi="Times New Roman" w:eastAsia="Times New Roman"/>
          <w:i/>
          <w:sz w:val="24"/>
        </w:rPr>
        <w:t>r</w:t>
      </w:r>
      <w:r>
        <w:rPr>
          <w:rFonts w:ascii="Times New Roman" w:hAnsi="Times New Roman" w:eastAsia="Times New Roman"/>
          <w:sz w:val="24"/>
        </w:rPr>
        <w:t xml:space="preserve"> from .002 to .028), consistent with their roles as the largest objective-outcome sources in those pools.</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6.0),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catalogued primary studies — 25 retained for qualitative synthesis, of which 10 contributed direct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by Chinese and Middle Eastern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Examination of the primary corpus suggests that the pooled estimate is driven largely by Chinese undergraduate samples (A-28 Yu, 2021, converted </w:t>
      </w:r>
      <w:r>
        <w:rPr>
          <w:rFonts w:ascii="Times New Roman" w:hAnsi="Times New Roman" w:eastAsia="Times New Roman"/>
          <w:i/>
          <w:sz w:val="24"/>
        </w:rPr>
        <w:t>β</w:t>
      </w:r>
      <w:r>
        <w:rPr>
          <w:rFonts w:ascii="Times New Roman" w:hAnsi="Times New Roman" w:eastAsia="Times New Roman"/>
          <w:sz w:val="24"/>
        </w:rPr>
        <w:t xml:space="preserve"> = .442; A-26 Wang et al., 2023, </w:t>
      </w:r>
      <w:r>
        <w:rPr>
          <w:rFonts w:ascii="Times New Roman" w:hAnsi="Times New Roman" w:eastAsia="Times New Roman"/>
          <w:i/>
          <w:sz w:val="24"/>
        </w:rPr>
        <w:t>β</w:t>
      </w:r>
      <w:r>
        <w:rPr>
          <w:rFonts w:ascii="Times New Roman" w:hAnsi="Times New Roman" w:eastAsia="Times New Roman"/>
          <w:sz w:val="24"/>
        </w:rPr>
        <w:t xml:space="preserve"> to engagement = .112) and by Israeli samples (A-12 Baruth &amp; Cohen, 2023, </w:t>
      </w:r>
      <w:r>
        <w:rPr>
          <w:rFonts w:ascii="Times New Roman" w:hAnsi="Times New Roman" w:eastAsia="Times New Roman"/>
          <w:i/>
          <w:sz w:val="24"/>
        </w:rPr>
        <w:t>ρ</w:t>
      </w:r>
      <w:r>
        <w:rPr>
          <w:rFonts w:ascii="Times New Roman" w:hAnsi="Times New Roman" w:eastAsia="Times New Roman"/>
          <w:sz w:val="24"/>
        </w:rPr>
        <w:t xml:space="preserve"> = .458 with satisfaction). These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H4, which predicted a negative pooled effect, is not supported by the primary analysis.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partial directional support for H4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and Kaspar et al., 2023)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effect. H5 is supported. Moreover, two moderator analyses revealed systematic conditions under which Extraversion shifts in the negative direction predicted by H5's facet-level cancellation mechanism: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was too under-represented (</w:t>
      </w:r>
      <w:r>
        <w:rPr>
          <w:rFonts w:ascii="Times New Roman" w:hAnsi="Times New Roman" w:eastAsia="Times New Roman"/>
          <w:i/>
          <w:sz w:val="24"/>
        </w:rPr>
        <w:t>k</w:t>
      </w:r>
      <w:r>
        <w:rPr>
          <w:rFonts w:ascii="Times New Roman" w:hAnsi="Times New Roman" w:eastAsia="Times New Roman"/>
          <w:sz w:val="24"/>
        </w:rPr>
        <w:t xml:space="preserve"> = 2 explicitly post-COVID studies) to support strong claims;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(Borenstein et al., 2021).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by Chinese and Middle Eastern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Audet, É. C., Levine, S. L., Metin, E., Koestner, S., &amp; Barcan, S. (2021). Zooming their way through university: Which Big 5 traits facilitated students' adjustment to online courses during the COVID-19 pandemic. </w:t>
      </w:r>
      <w:r>
        <w:rPr>
          <w:rFonts w:ascii="Times New Roman" w:hAnsi="Times New Roman" w:eastAsia="Times New Roman"/>
          <w:i/>
          <w:sz w:val="24"/>
        </w:rPr>
        <w:t>Personality and Individual Differences, 180</w:t>
      </w:r>
      <w:r>
        <w:rPr>
          <w:rFonts w:ascii="Times New Roman" w:hAnsi="Times New Roman" w:eastAsia="Times New Roman"/>
          <w:sz w:val="24"/>
        </w:rPr>
        <w:t>, 110969. https://doi.org/10.1016/j.paid.2021.110969</w:t>
      </w:r>
    </w:p>
    <w:p>
      <w:pPr>
        <w:spacing w:line="480" w:lineRule="auto" w:before="0" w:after="0"/>
        <w:ind w:left="720" w:hanging="720"/>
      </w:pPr>
      <w:r>
        <w:rPr>
          <w:rFonts w:ascii="Times New Roman" w:hAnsi="Times New Roman" w:eastAsia="Times New Roman"/>
          <w:sz w:val="24"/>
        </w:rPr>
        <w:t xml:space="preserve">Audet, É. C., Levine, S. L., Dubois, P., Koestner, S., &amp; Koestner, R. (2023). The unanticipated virtual year: How the Big 5 personality traits of openness to experience and conscientiousness impacted engagement in online classes during the COVID-19 crisis. </w:t>
      </w:r>
      <w:r>
        <w:rPr>
          <w:rFonts w:ascii="Times New Roman" w:hAnsi="Times New Roman" w:eastAsia="Times New Roman"/>
          <w:i/>
          <w:sz w:val="24"/>
        </w:rPr>
        <w:t>Journal of College Reading and Learning, 53</w:t>
      </w:r>
      <w:r>
        <w:rPr>
          <w:rFonts w:ascii="Times New Roman" w:hAnsi="Times New Roman" w:eastAsia="Times New Roman"/>
          <w:sz w:val="24"/>
        </w:rPr>
        <w:t>(4), 298–315. https://doi.org/10.1080/10790195.2023.2250402</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Baruth, O., &amp; Cohen, A. (2023). Personality and satisfaction with online courses: The relation between the Big Five personality traits and satisfaction with online learning activities. </w:t>
      </w:r>
      <w:r>
        <w:rPr>
          <w:rFonts w:ascii="Times New Roman" w:hAnsi="Times New Roman" w:eastAsia="Times New Roman"/>
          <w:i/>
          <w:sz w:val="24"/>
        </w:rPr>
        <w:t>Education and Information Technologies, 28</w:t>
      </w:r>
      <w:r>
        <w:rPr>
          <w:rFonts w:ascii="Times New Roman" w:hAnsi="Times New Roman" w:eastAsia="Times New Roman"/>
          <w:sz w:val="24"/>
        </w:rPr>
        <w:t>, 879–904. https://doi.org/10.1007/s10639-022-11199-x</w:t>
      </w:r>
    </w:p>
    <w:p>
      <w:pPr>
        <w:spacing w:line="480" w:lineRule="auto" w:before="0" w:after="0"/>
        <w:ind w:left="720" w:hanging="720"/>
      </w:pPr>
      <w:r>
        <w:rPr>
          <w:rFonts w:ascii="Times New Roman" w:hAnsi="Times New Roman" w:eastAsia="Times New Roman"/>
          <w:sz w:val="24"/>
        </w:rPr>
        <w:t xml:space="preserve">Bhattacharjee, R. R., &amp; Ramkumar, A. (2025). Effect of big five personality dimensions on the academic performance of college students. </w:t>
      </w:r>
      <w:r>
        <w:rPr>
          <w:rFonts w:ascii="Times New Roman" w:hAnsi="Times New Roman" w:eastAsia="Times New Roman"/>
          <w:i/>
          <w:sz w:val="24"/>
        </w:rPr>
        <w:t>Frontiers in Psychology, 16</w:t>
      </w:r>
      <w:r>
        <w:rPr>
          <w:rFonts w:ascii="Times New Roman" w:hAnsi="Times New Roman" w:eastAsia="Times New Roman"/>
          <w:sz w:val="24"/>
        </w:rPr>
        <w:t>, 1490427. https://doi.org/10.3389/fpsyg.2025.1490427</w:t>
      </w:r>
    </w:p>
    <w:p>
      <w:pPr>
        <w:spacing w:line="480" w:lineRule="auto" w:before="0" w:after="0"/>
        <w:ind w:left="720" w:hanging="720"/>
      </w:pPr>
      <w:r>
        <w:rPr>
          <w:rFonts w:ascii="Times New Roman" w:hAnsi="Times New Roman" w:eastAsia="Times New Roman"/>
          <w:sz w:val="24"/>
        </w:rPr>
        <w:t xml:space="preserve">Boonyapison, K., Sittironnarit, G., &amp; Rattanaumpawan, P. (2025). Association between the big five personalities and academic performance among grade 12 students at international high school in Thailand. </w:t>
      </w:r>
      <w:r>
        <w:rPr>
          <w:rFonts w:ascii="Times New Roman" w:hAnsi="Times New Roman" w:eastAsia="Times New Roman"/>
          <w:i/>
          <w:sz w:val="24"/>
        </w:rPr>
        <w:t>Scientific Reports, 15</w:t>
      </w:r>
      <w:r>
        <w:rPr>
          <w:rFonts w:ascii="Times New Roman" w:hAnsi="Times New Roman" w:eastAsia="Times New Roman"/>
          <w:sz w:val="24"/>
        </w:rPr>
        <w:t>, 16484. https://doi.org/10.1038/s41598-025-01038-7</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Cohen, A., &amp; Baruth, O. (2017). Personality, learning, and satisfaction in fully online academic courses. </w:t>
      </w:r>
      <w:r>
        <w:rPr>
          <w:rFonts w:ascii="Times New Roman" w:hAnsi="Times New Roman" w:eastAsia="Times New Roman"/>
          <w:i/>
          <w:sz w:val="24"/>
        </w:rPr>
        <w:t>Computers in Human Behavior, 72</w:t>
      </w:r>
      <w:r>
        <w:rPr>
          <w:rFonts w:ascii="Times New Roman" w:hAnsi="Times New Roman" w:eastAsia="Times New Roman"/>
          <w:sz w:val="24"/>
        </w:rPr>
        <w:t>, 1–12. https://doi.org/10.1016/j.chb.2017.02.030</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Eilam, B., Zeidner, </w:t>
      </w:r>
      <w:r>
        <w:rPr>
          <w:rFonts w:ascii="Times New Roman" w:hAnsi="Times New Roman" w:eastAsia="Times New Roman"/>
          <w:i/>
          <w:sz w:val="24"/>
        </w:rPr>
        <w:t>M</w:t>
      </w:r>
      <w:r>
        <w:rPr>
          <w:rFonts w:ascii="Times New Roman" w:hAnsi="Times New Roman" w:eastAsia="Times New Roman"/>
          <w:sz w:val="24"/>
        </w:rPr>
        <w:t>., &amp; Aharon, I. (2009). Student conscientiousness, self-regulated learning, and science achievement: An explorative field study. Psychology in the Schools, 46(5), 420–432. https://doi.org/10.1002/pits.20387</w:t>
      </w:r>
    </w:p>
    <w:p>
      <w:pPr>
        <w:spacing w:line="480" w:lineRule="auto" w:before="0" w:after="0"/>
        <w:ind w:left="720" w:hanging="720"/>
      </w:pPr>
      <w:r>
        <w:rPr>
          <w:rFonts w:ascii="Times New Roman" w:hAnsi="Times New Roman" w:eastAsia="Times New Roman"/>
          <w:sz w:val="24"/>
        </w:rPr>
        <w:t xml:space="preserve">Elvers, G. C., Polzella, D. J., &amp; Graetz, K. (2003). Procrastination in online courses: Performance and attitudinal differences. </w:t>
      </w:r>
      <w:r>
        <w:rPr>
          <w:rFonts w:ascii="Times New Roman" w:hAnsi="Times New Roman" w:eastAsia="Times New Roman"/>
          <w:i/>
          <w:sz w:val="24"/>
        </w:rPr>
        <w:t>Teaching of Psychology, 30</w:t>
      </w:r>
      <w:r>
        <w:rPr>
          <w:rFonts w:ascii="Times New Roman" w:hAnsi="Times New Roman" w:eastAsia="Times New Roman"/>
          <w:sz w:val="24"/>
        </w:rPr>
        <w:t>(2), 159–162. https://doi.org/10.1207/S15328023TOP3002_13</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Hidalgo-Fuentes, S., Martínez-Álvarez, I., Llamas-Salguero, </w:t>
      </w:r>
      <w:r>
        <w:rPr>
          <w:rFonts w:ascii="Times New Roman" w:hAnsi="Times New Roman" w:eastAsia="Times New Roman"/>
          <w:i/>
          <w:sz w:val="24"/>
        </w:rPr>
        <w:t>F</w:t>
      </w:r>
      <w:r>
        <w:rPr>
          <w:rFonts w:ascii="Times New Roman" w:hAnsi="Times New Roman" w:eastAsia="Times New Roman"/>
          <w:sz w:val="24"/>
        </w:rPr>
        <w:t xml:space="preserve">., Pineda-Zelaya, I. S., Merino-Soto, C., &amp; Chans, G. </w:t>
      </w:r>
      <w:r>
        <w:rPr>
          <w:rFonts w:ascii="Times New Roman" w:hAnsi="Times New Roman" w:eastAsia="Times New Roman"/>
          <w:i/>
          <w:sz w:val="24"/>
        </w:rPr>
        <w:t>M</w:t>
      </w:r>
      <w:r>
        <w:rPr>
          <w:rFonts w:ascii="Times New Roman" w:hAnsi="Times New Roman" w:eastAsia="Times New Roman"/>
          <w:sz w:val="24"/>
        </w:rPr>
        <w:t>. (2024). The role of big five traits and self-esteem on academic procrastination in Honduran and Spanish university students: A cross-cultural study. Heliyon, 10(17), e36172. https://doi.org/10.1016/j.heliyon.2024.e36172</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Kaspar, K., Burtniak, K., &amp; Rüth, </w:t>
      </w:r>
      <w:r>
        <w:rPr>
          <w:rFonts w:ascii="Times New Roman" w:hAnsi="Times New Roman" w:eastAsia="Times New Roman"/>
          <w:i/>
          <w:sz w:val="24"/>
        </w:rPr>
        <w:t>M</w:t>
      </w:r>
      <w:r>
        <w:rPr>
          <w:rFonts w:ascii="Times New Roman" w:hAnsi="Times New Roman" w:eastAsia="Times New Roman"/>
          <w:sz w:val="24"/>
        </w:rPr>
        <w:t>. (2023). Online learning during the Covid-19 pandemic: How university students' perceptions, engagement, and performance are related to their personal characteristics. Current Psychology. Advance online publication. https://doi.org/10.1007/s12144-023-04403-9</w:t>
      </w:r>
    </w:p>
    <w:p>
      <w:pPr>
        <w:spacing w:line="480" w:lineRule="auto" w:before="0" w:after="0"/>
        <w:ind w:left="720" w:hanging="720"/>
      </w:pPr>
      <w:r>
        <w:rPr>
          <w:rFonts w:ascii="Times New Roman" w:hAnsi="Times New Roman" w:eastAsia="Times New Roman"/>
          <w:sz w:val="24"/>
        </w:rPr>
        <w:t xml:space="preserve">MacLean, K. A. (2022). </w:t>
      </w:r>
      <w:r>
        <w:rPr>
          <w:rFonts w:ascii="Times New Roman" w:hAnsi="Times New Roman" w:eastAsia="Times New Roman"/>
          <w:i/>
          <w:sz w:val="24"/>
        </w:rPr>
        <w:t>Endorsed, or just enforced? Personality and preferences for online learning during COVID-19</w:t>
      </w:r>
      <w:r>
        <w:rPr>
          <w:rFonts w:ascii="Times New Roman" w:hAnsi="Times New Roman" w:eastAsia="Times New Roman"/>
          <w:sz w:val="24"/>
        </w:rPr>
        <w:t xml:space="preserve"> [Master's thesis, University of Calgary]. PRISM Repository.</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Mustafa, S., Qiao, Y., Yan, X., Anwar, A., Hao, T., &amp; Rana, S. (2022). Digital students' satisfaction with and intention to use online teaching modes, role of Big Five personality traits. </w:t>
      </w:r>
      <w:r>
        <w:rPr>
          <w:rFonts w:ascii="Times New Roman" w:hAnsi="Times New Roman" w:eastAsia="Times New Roman"/>
          <w:i/>
          <w:sz w:val="24"/>
        </w:rPr>
        <w:t>Frontiers in Psychology, 13</w:t>
      </w:r>
      <w:r>
        <w:rPr>
          <w:rFonts w:ascii="Times New Roman" w:hAnsi="Times New Roman" w:eastAsia="Times New Roman"/>
          <w:sz w:val="24"/>
        </w:rPr>
        <w:t>, 956281. https://doi.org/10.3389/fpsyg.2022.956281</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Paulhus, D. L. (1998). Interpersonal and intrapsychic adaptiveness of trait self-enhancement: A mixed blessing? </w:t>
      </w:r>
      <w:r>
        <w:rPr>
          <w:rFonts w:ascii="Times New Roman" w:hAnsi="Times New Roman" w:eastAsia="Times New Roman"/>
          <w:i/>
          <w:sz w:val="24"/>
        </w:rPr>
        <w:t>Journal of Personality and Social Psychology, 74</w:t>
      </w:r>
      <w:r>
        <w:rPr>
          <w:rFonts w:ascii="Times New Roman" w:hAnsi="Times New Roman" w:eastAsia="Times New Roman"/>
          <w:sz w:val="24"/>
        </w:rPr>
        <w:t>(5), 1197–1208. https://doi.org/10.1037/0022-3514.74.5.1197</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Quigley, </w:t>
      </w:r>
      <w:r>
        <w:rPr>
          <w:rFonts w:ascii="Times New Roman" w:hAnsi="Times New Roman" w:eastAsia="Times New Roman"/>
          <w:i/>
          <w:sz w:val="24"/>
        </w:rPr>
        <w:t>M</w:t>
      </w:r>
      <w:r>
        <w:rPr>
          <w:rFonts w:ascii="Times New Roman" w:hAnsi="Times New Roman" w:eastAsia="Times New Roman"/>
          <w:sz w:val="24"/>
        </w:rPr>
        <w:t>., Bradley, A., Playfoot, D., &amp; Harrad, R. (2022). Personality traits and stress perception as predictors of students' online engagement during the COVID-19 pandemic. Personality and Individual Differences, 194, 111645. https://doi.org/10.1016/j.paid.2022.111645</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Sahinidis, A. G., &amp; Tsaknis, P. A. (2021). Exploring the relationship of the Big Five personality traits with student satisfaction with synchronous online academic learning: The case of Covid-19-induced changes. In A. Kavoura, S. Kefallonitis, &amp; P. Theodoridis (Eds.), </w:t>
      </w:r>
      <w:r>
        <w:rPr>
          <w:rFonts w:ascii="Times New Roman" w:hAnsi="Times New Roman" w:eastAsia="Times New Roman"/>
          <w:i/>
          <w:sz w:val="24"/>
        </w:rPr>
        <w:t>Strategic Innovative Marketing and Tourism</w:t>
      </w:r>
      <w:r>
        <w:rPr>
          <w:rFonts w:ascii="Times New Roman" w:hAnsi="Times New Roman" w:eastAsia="Times New Roman"/>
          <w:sz w:val="24"/>
        </w:rPr>
        <w:t xml:space="preserve"> (pp. 116–130). Springer. https://doi.org/10.1007/978-3-030-66154-0_10</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 xml:space="preserve">Tlili, A., Sun, T., Denden, </w:t>
      </w:r>
      <w:r>
        <w:rPr>
          <w:rFonts w:ascii="Times New Roman" w:hAnsi="Times New Roman" w:eastAsia="Times New Roman"/>
          <w:i/>
          <w:sz w:val="24"/>
        </w:rPr>
        <w:t>M</w:t>
      </w:r>
      <w:r>
        <w:rPr>
          <w:rFonts w:ascii="Times New Roman" w:hAnsi="Times New Roman" w:eastAsia="Times New Roman"/>
          <w:sz w:val="24"/>
        </w:rPr>
        <w:t>., Kinshuk, Graf, S., Fei, C., &amp; Wang, H. (2023). Impact of personality traits on learners' navigational behavior patterns in an online course: A lag sequential analysis approach. Frontiers in Psychology, 14, 1071985. https://doi.org/10.3389/fpsyg.2023.1071985</w:t>
      </w:r>
    </w:p>
    <w:p>
      <w:pPr>
        <w:spacing w:line="480" w:lineRule="auto" w:before="0" w:after="0"/>
        <w:ind w:left="720" w:hanging="720"/>
      </w:pPr>
      <w:r>
        <w:rPr>
          <w:rFonts w:ascii="Times New Roman" w:hAnsi="Times New Roman" w:eastAsia="Times New Roman"/>
          <w:sz w:val="24"/>
        </w:rPr>
        <w:t xml:space="preserve">Tokiwa, E. (2025). Who excels in online learning in Japan? </w:t>
      </w:r>
      <w:r>
        <w:rPr>
          <w:rFonts w:ascii="Times New Roman" w:hAnsi="Times New Roman" w:eastAsia="Times New Roman"/>
          <w:i/>
          <w:sz w:val="24"/>
        </w:rPr>
        <w:t>Frontiers in Psychology, 16</w:t>
      </w:r>
      <w:r>
        <w:rPr>
          <w:rFonts w:ascii="Times New Roman" w:hAnsi="Times New Roman" w:eastAsia="Times New Roman"/>
          <w:sz w:val="24"/>
        </w:rPr>
        <w:t>, Article 1420996. https://doi.org/10.3389/fpsyg.2025.1420996</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pPr>
        <w:spacing w:line="480" w:lineRule="auto" w:before="0" w:after="0"/>
        <w:ind w:left="720" w:hanging="720"/>
      </w:pPr>
      <w:r>
        <w:rPr>
          <w:rFonts w:ascii="Times New Roman" w:hAnsi="Times New Roman" w:eastAsia="Times New Roman"/>
          <w:sz w:val="24"/>
        </w:rPr>
        <w:t xml:space="preserve">Zheng, Y., &amp; Zheng, S. (2023). Exploring educational impacts among pre, during and post COVID-19 lockdowns from students with different personality traits. </w:t>
      </w:r>
      <w:r>
        <w:rPr>
          <w:rFonts w:ascii="Times New Roman" w:hAnsi="Times New Roman" w:eastAsia="Times New Roman"/>
          <w:i/>
          <w:sz w:val="24"/>
        </w:rPr>
        <w:t>International Journal of Educational Technology in Higher Education, 20</w:t>
      </w:r>
      <w:r>
        <w:rPr>
          <w:rFonts w:ascii="Times New Roman" w:hAnsi="Times New Roman" w:eastAsia="Times New Roman"/>
          <w:sz w:val="24"/>
        </w:rPr>
        <w:t>(1), 21. https://doi.org/10.1186/s41239-023-00388-4</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(2020)</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(2018)</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(2021)</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(2023)</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(2021)</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(2017)</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(2025)</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(2025)</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(2023)</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(2023)</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(2003)</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(2024)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(2022)</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(2022)</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(2022)</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(2024)</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(2023)</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Tokiwa (2025)</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(2023)</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(2021)</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(2020)</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(2023)</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(2021)</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(2023)</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eastAsia="Times New Roman"/>
          <w:sz w:val="24"/>
        </w:rPr>
        <w:t xml:space="preserve">Note. ID = study identifier in the deep-reading-notes ledger (A-XX sequence). </w:t>
      </w:r>
      <w:r>
        <w:rPr>
          <w:rFonts w:ascii="Times New Roman" w:hAnsi="Times New Roman" w:eastAsia="Times New Roman"/>
          <w:i/>
          <w:sz w:val="24"/>
        </w:rPr>
        <w:t>N</w:t>
      </w:r>
      <w:r>
        <w:rPr>
          <w:rFonts w:ascii="Times New Roman" w:hAnsi="Times New Roman" w:eastAsia="Times New Roman"/>
          <w:sz w:val="24"/>
        </w:rPr>
        <w:t xml:space="preserve">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column groups studies into three tiers: (1) QUANTITATIVE PRIMARY POOL (</w:t>
      </w:r>
      <w:r>
        <w:rPr>
          <w:rFonts w:ascii="Times New Roman" w:hAnsi="Times New Roman" w:eastAsia="Times New Roman"/>
          <w:i/>
          <w:sz w:val="24"/>
        </w:rPr>
        <w:t>k</w:t>
      </w:r>
      <w:r>
        <w:rPr>
          <w:rFonts w:ascii="Times New Roman" w:hAnsi="Times New Roman" w:eastAsia="Times New Roman"/>
          <w:sz w:val="24"/>
        </w:rPr>
        <w:t xml:space="preserve"> = 10) — Inc-pri = included in primary achievement pool with direct r; Inc-pri* = included with caveat (β-converted, partial trait coverage, or conditional outcome proxy); Inc (COI) = included with conflict-of-interest flag (author's own prior study, sensitivity analysis excludes). (2) QUALITATIVE / SECONDARY SYNTHESIS (retained for narrative) — Inc-sec = retained in the systematic review for secondary outcomes (satisfaction, engagement, preference, perception) but no extractable </w:t>
      </w:r>
      <w:r>
        <w:rPr>
          <w:rFonts w:ascii="Times New Roman" w:hAnsi="Times New Roman" w:eastAsia="Times New Roman"/>
          <w:i/>
          <w:sz w:val="24"/>
        </w:rPr>
        <w:t>r</w:t>
      </w:r>
      <w:r>
        <w:rPr>
          <w:rFonts w:ascii="Times New Roman" w:hAnsi="Times New Roman" w:eastAsia="Times New Roman"/>
          <w:sz w:val="24"/>
        </w:rPr>
        <w:t xml:space="preserve"> for the primary achievement pool. (3) EXCLUDED POST-ELIGIBILITY (documented for PRISMA transparency, NOT in synthesis) — Exc = excluded at eligibility (face-to-face modality, or no extractable effect size); Exc-dup = excluded due to sample overlap with an already-included study; — = PDF could not be retrieved. The 31 catalogued studies decompose as: 10 primary + 15 secondary = 25 retained, plus 6 documented post-eligibility exclusions. RoB = aggregate score on the Joanna Briggs Institute 8-item critical appraisal checklist (0–8; higher = lower risk). A-14 Eilam (2009) and A-27 Wu &amp; Yu (2024) are omitted from the table because the former was excluded at the modality screening stage (face-to-face) and the latter was not available as a retrievable PDF; both are disclosed in the PRISMA flow (Figure 1).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sz w:val="24"/>
              </w:rPr>
              <w:t>Q(</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independent samples contributing a direct Pearson </w:t>
      </w:r>
      <w:r>
        <w:rPr>
          <w:rFonts w:ascii="Times New Roman" w:hAnsi="Times New Roman" w:eastAsia="Times New Roman"/>
          <w:i/>
          <w:sz w:val="24"/>
        </w:rPr>
        <w:t>r</w:t>
      </w:r>
      <w:r>
        <w:rPr>
          <w:rFonts w:ascii="Times New Roman" w:hAnsi="Times New Roman" w:eastAsia="Times New Roman"/>
          <w:sz w:val="24"/>
        </w:rPr>
        <w:t xml:space="preserve"> or Peterson-Brown-converted </w:t>
      </w:r>
      <w:r>
        <w:rPr>
          <w:rFonts w:ascii="Times New Roman" w:hAnsi="Times New Roman" w:eastAsia="Times New Roman"/>
          <w:i/>
          <w:sz w:val="24"/>
        </w:rPr>
        <w:t>β</w:t>
      </w:r>
      <w:r>
        <w:rPr>
          <w:rFonts w:ascii="Times New Roman" w:hAnsi="Times New Roman" w:eastAsia="Times New Roman"/>
          <w:sz w:val="24"/>
        </w:rPr>
        <w:t xml:space="preserve"> to the trait pool. </w:t>
      </w:r>
      <w:r>
        <w:rPr>
          <w:rFonts w:ascii="Times New Roman" w:hAnsi="Times New Roman" w:eastAsia="Times New Roman"/>
          <w:i/>
          <w:sz w:val="24"/>
        </w:rPr>
        <w:t>N</w:t>
      </w:r>
      <w:r>
        <w:rPr>
          <w:rFonts w:ascii="Times New Roman" w:hAnsi="Times New Roman" w:eastAsia="Times New Roman"/>
          <w:sz w:val="24"/>
        </w:rPr>
        <w:t xml:space="preserve"> = total pooled sample size. </w:t>
      </w:r>
      <w:r>
        <w:rPr>
          <w:rFonts w:ascii="Times New Roman" w:hAnsi="Times New Roman" w:eastAsia="Times New Roman"/>
          <w:i/>
          <w:sz w:val="24"/>
        </w:rPr>
        <w:t>r</w:t>
      </w:r>
      <w:r>
        <w:rPr>
          <w:rFonts w:ascii="Times New Roman" w:hAnsi="Times New Roman" w:eastAsia="Times New Roman"/>
          <w:sz w:val="24"/>
        </w:rPr>
        <w:t xml:space="preserve"> = random-effects REML pooled correlation on the Fisher </w:t>
      </w:r>
      <w:r>
        <w:rPr>
          <w:rFonts w:ascii="Times New Roman" w:hAnsi="Times New Roman" w:eastAsia="Times New Roman"/>
          <w:i/>
          <w:sz w:val="24"/>
        </w:rPr>
        <w:t>z</w:t>
      </w:r>
      <w:r>
        <w:rPr>
          <w:rFonts w:ascii="Times New Roman" w:hAnsi="Times New Roman" w:eastAsia="Times New Roman"/>
          <w:sz w:val="24"/>
        </w:rPr>
        <w:t xml:space="preserve"> scale, back-transformed to </w:t>
      </w:r>
      <w:r>
        <w:rPr>
          <w:rFonts w:ascii="Times New Roman" w:hAnsi="Times New Roman" w:eastAsia="Times New Roman"/>
          <w:i/>
          <w:sz w:val="24"/>
        </w:rPr>
        <w:t>r</w:t>
      </w:r>
      <w:r>
        <w:rPr>
          <w:rFonts w:ascii="Times New Roman" w:hAnsi="Times New Roman" w:eastAsia="Times New Roman"/>
          <w:sz w:val="24"/>
        </w:rPr>
        <w:t xml:space="preserve"> for display. 95% CI = Hartung-Knapp-Sidik-Jonkman–adjusted confidence interval. 95% PI = prediction interval for true effects in a new study. </w:t>
      </w:r>
      <w:r>
        <w:rPr>
          <w:rFonts w:ascii="Times New Roman" w:hAnsi="Times New Roman" w:eastAsia="Times New Roman"/>
          <w:i/>
          <w:sz w:val="24"/>
        </w:rPr>
        <w:t>I²</w:t>
      </w:r>
      <w:r>
        <w:rPr>
          <w:rFonts w:ascii="Times New Roman" w:hAnsi="Times New Roman" w:eastAsia="Times New Roman"/>
          <w:sz w:val="24"/>
        </w:rPr>
        <w:t xml:space="preserve"> = Higgins &amp; Thompson's heterogeneity index. </w:t>
      </w:r>
      <w:r>
        <w:rPr>
          <w:rFonts w:ascii="Times New Roman" w:hAnsi="Times New Roman" w:eastAsia="Times New Roman"/>
          <w:i/>
          <w:sz w:val="24"/>
        </w:rPr>
        <w:t>τ²</w:t>
      </w:r>
      <w:r>
        <w:rPr>
          <w:rFonts w:ascii="Times New Roman" w:hAnsi="Times New Roman" w:eastAsia="Times New Roman"/>
          <w:sz w:val="24"/>
        </w:rPr>
        <w:t xml:space="preserve"> = REML between-study variance. </w:t>
      </w:r>
      <w:r>
        <w:rPr>
          <w:rFonts w:ascii="Times New Roman" w:hAnsi="Times New Roman" w:eastAsia="Times New Roman"/>
          <w:i/>
          <w:sz w:val="24"/>
        </w:rPr>
        <w:t>Q</w:t>
      </w:r>
      <w:r>
        <w:rPr>
          <w:rFonts w:ascii="Times New Roman" w:hAnsi="Times New Roman" w:eastAsia="Times New Roman"/>
          <w:sz w:val="24"/>
        </w:rPr>
        <w:t xml:space="preserve"> = Cochran's heterogeneity statistic; </w:t>
      </w:r>
      <w:r>
        <w:rPr>
          <w:rFonts w:ascii="Times New Roman" w:hAnsi="Times New Roman" w:eastAsia="Times New Roman"/>
          <w:i/>
          <w:sz w:val="24"/>
        </w:rPr>
        <w:t>df</w:t>
      </w:r>
      <w:r>
        <w:rPr>
          <w:rFonts w:ascii="Times New Roman" w:hAnsi="Times New Roman" w:eastAsia="Times New Roman"/>
          <w:sz w:val="24"/>
        </w:rPr>
        <w:t xml:space="preserve"> = degrees of freedom; </w:t>
      </w:r>
      <w:r>
        <w:rPr>
          <w:rFonts w:ascii="Times New Roman" w:hAnsi="Times New Roman" w:eastAsia="Times New Roman"/>
          <w:i/>
          <w:sz w:val="24"/>
        </w:rPr>
        <w:t>p</w:t>
      </w:r>
      <w:r>
        <w:rPr>
          <w:rFonts w:ascii="Times New Roman" w:hAnsi="Times New Roman" w:eastAsia="Times New Roman"/>
          <w:sz w:val="24"/>
        </w:rPr>
        <w:t xml:space="preserve"> = associated p-value. Traits are sorted by pooled </w:t>
      </w:r>
      <w:r>
        <w:rPr>
          <w:rFonts w:ascii="Times New Roman" w:hAnsi="Times New Roman" w:eastAsia="Times New Roman"/>
          <w:i/>
          <w:sz w:val="24"/>
        </w:rPr>
        <w:t>r</w:t>
      </w:r>
      <w:r>
        <w:rPr>
          <w:rFonts w:ascii="Times New Roman" w:hAnsi="Times New Roman" w:eastAsia="Times New Roman"/>
          <w:sz w:val="24"/>
        </w:rPr>
        <w:t xml:space="preserve">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sz w:val="24"/>
              </w:rPr>
              <w:t>Q_between(</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[.076, .217]</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[.126, .319]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[−.068, .246]</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[−.027, .170]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[−.134, .060]</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[.017, .214]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[−.088, .336]</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[−.056, .137]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[−.154, .137]</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[−.142, .364]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studies contributing to each subgroup. </w:t>
      </w:r>
      <w:r>
        <w:rPr>
          <w:rFonts w:ascii="Times New Roman" w:hAnsi="Times New Roman" w:eastAsia="Times New Roman"/>
          <w:i/>
          <w:sz w:val="24"/>
        </w:rPr>
        <w:t>Q_between</w:t>
      </w:r>
      <w:r>
        <w:rPr>
          <w:rFonts w:ascii="Times New Roman" w:hAnsi="Times New Roman" w:eastAsia="Times New Roman"/>
          <w:sz w:val="24"/>
        </w:rPr>
        <w:t xml:space="preserve"> = between-subgroup heterogeneity statistic testing whether subgroups' pooled effects differ significantly. Dagger (†) indicates the two significant subgroup differences at </w:t>
      </w:r>
      <w:r>
        <w:rPr>
          <w:rFonts w:ascii="Times New Roman" w:hAnsi="Times New Roman" w:eastAsia="Times New Roman"/>
          <w:i/>
          <w:sz w:val="24"/>
        </w:rPr>
        <w:t>p</w:t>
      </w:r>
      <w:r>
        <w:rPr>
          <w:rFonts w:ascii="Times New Roman" w:hAnsi="Times New Roman" w:eastAsia="Times New Roman"/>
          <w:sz w:val="24"/>
        </w:rPr>
        <w:t xml:space="preserve"> &lt; .001 after Holm-Bonferroni correction within the Extraversion trait pool. Categorical levels: Asia = East or Middle Eastern samples; non-Asia = European, North American, or Other regions. Era: pre-COVID = data collected ≤2019; COVID-era = 2020–2022. Post-COVID studies (</w:t>
      </w:r>
      <w:r>
        <w:rPr>
          <w:rFonts w:ascii="Times New Roman" w:hAnsi="Times New Roman" w:eastAsia="Times New Roman"/>
          <w:i/>
          <w:sz w:val="24"/>
        </w:rPr>
        <w:t>k</w:t>
      </w:r>
      <w:r>
        <w:rPr>
          <w:rFonts w:ascii="Times New Roman" w:hAnsi="Times New Roman" w:eastAsia="Times New Roman"/>
          <w:sz w:val="24"/>
        </w:rPr>
        <w:t xml:space="preserve">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[.095, .307]</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[.099, .262]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2.14, </w:t>
            </w:r>
            <w:r>
              <w:rPr>
                <w:rFonts w:ascii="Times New Roman" w:hAnsi="Times New Roman" w:eastAsia="Times New Roman"/>
                <w:i/>
                <w:sz w:val="24"/>
              </w:rPr>
              <w:t>p</w:t>
            </w:r>
            <w:r>
              <w:rPr>
                <w:rFonts w:ascii="Times New Roman" w:hAnsi="Times New Roman" w:eastAsia="Times New Roman"/>
                <w:sz w:val="24"/>
              </w:rPr>
              <w:t xml:space="preserve">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[−.127, .184]</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[−.040, .228]</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−6.41, </w:t>
            </w:r>
            <w:r>
              <w:rPr>
                <w:rFonts w:ascii="Times New Roman" w:hAnsi="Times New Roman" w:eastAsia="Times New Roman"/>
                <w:i/>
                <w:sz w:val="24"/>
              </w:rPr>
              <w:t>p</w:t>
            </w:r>
            <w:r>
              <w:rPr>
                <w:rFonts w:ascii="Times New Roman" w:hAnsi="Times New Roman" w:eastAsia="Times New Roman"/>
                <w:sz w:val="24"/>
              </w:rPr>
              <w:t xml:space="preserve">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[−.081, .117]</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[−.080, .086]</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2.29, </w:t>
            </w:r>
            <w:r>
              <w:rPr>
                <w:rFonts w:ascii="Times New Roman" w:hAnsi="Times New Roman" w:eastAsia="Times New Roman"/>
                <w:i/>
                <w:sz w:val="24"/>
              </w:rPr>
              <w:t>p</w:t>
            </w:r>
            <w:r>
              <w:rPr>
                <w:rFonts w:ascii="Times New Roman" w:hAnsi="Times New Roman" w:eastAsia="Times New Roman"/>
                <w:sz w:val="24"/>
              </w:rPr>
              <w:t xml:space="preserve">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[−.089, .219]</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[−.028, .273]</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−8.53, </w:t>
            </w:r>
            <w:r>
              <w:rPr>
                <w:rFonts w:ascii="Times New Roman" w:hAnsi="Times New Roman" w:eastAsia="Times New Roman"/>
                <w:i/>
                <w:sz w:val="24"/>
              </w:rPr>
              <w:t>p</w:t>
            </w:r>
            <w:r>
              <w:rPr>
                <w:rFonts w:ascii="Times New Roman" w:hAnsi="Times New Roman" w:eastAsia="Times New Roman"/>
                <w:sz w:val="24"/>
              </w:rPr>
              <w:t xml:space="preserve">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[−.165, .082]</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[−.084, .121]</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−1.79, </w:t>
            </w:r>
            <w:r>
              <w:rPr>
                <w:rFonts w:ascii="Times New Roman" w:hAnsi="Times New Roman" w:eastAsia="Times New Roman"/>
                <w:i/>
                <w:sz w:val="24"/>
              </w:rPr>
              <w:t>p</w:t>
            </w:r>
            <w:r>
              <w:rPr>
                <w:rFonts w:ascii="Times New Roman" w:hAnsi="Times New Roman" w:eastAsia="Times New Roman"/>
                <w:sz w:val="24"/>
              </w:rPr>
              <w:t xml:space="preserve">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eastAsia="Times New Roman"/>
          <w:sz w:val="24"/>
        </w:rPr>
        <w:t xml:space="preserve">Note. Δr = change in pooled correlation from the primary analysis. A double dagger (‡) denotes a sensitivity-analysis-induced shift exceeding |Δr| = .05, which is considered potentially influential per the pre-registered threshold. A single dagger (†) denotes a significant Egger test at </w:t>
      </w:r>
      <w:r>
        <w:rPr>
          <w:rFonts w:ascii="Times New Roman" w:hAnsi="Times New Roman" w:eastAsia="Times New Roman"/>
          <w:i/>
          <w:sz w:val="24"/>
        </w:rPr>
        <w:t>p</w:t>
      </w:r>
      <w:r>
        <w:rPr>
          <w:rFonts w:ascii="Times New Roman" w:hAnsi="Times New Roman" w:eastAsia="Times New Roman"/>
          <w:sz w:val="24"/>
        </w:rPr>
        <w:t xml:space="preserve"> &lt; .05. "Exclude Tokiwa (COI)" removes the present author's prior primary study (Tokiwa, 2025); the zero delta reflects that this study did not contribute a direct </w:t>
      </w:r>
      <w:r>
        <w:rPr>
          <w:rFonts w:ascii="Times New Roman" w:hAnsi="Times New Roman" w:eastAsia="Times New Roman"/>
          <w:i/>
          <w:sz w:val="24"/>
        </w:rPr>
        <w:t>r</w:t>
      </w:r>
      <w:r>
        <w:rPr>
          <w:rFonts w:ascii="Times New Roman" w:hAnsi="Times New Roman" w:eastAsia="Times New Roman"/>
          <w:sz w:val="24"/>
        </w:rPr>
        <w:t xml:space="preserve"> to the primary pool. "Exclude β-converted" restricts the pool to studies reporting direct Pearson </w:t>
      </w:r>
      <w:r>
        <w:rPr>
          <w:rFonts w:ascii="Times New Roman" w:hAnsi="Times New Roman" w:eastAsia="Times New Roman"/>
          <w:i/>
          <w:sz w:val="24"/>
        </w:rPr>
        <w:t>r</w:t>
      </w:r>
      <w:r>
        <w:rPr>
          <w:rFonts w:ascii="Times New Roman" w:hAnsi="Times New Roman" w:eastAsia="Times New Roman"/>
          <w:sz w:val="24"/>
        </w:rPr>
        <w:t xml:space="preserve"> or Spearman </w:t>
      </w:r>
      <w:r>
        <w:rPr>
          <w:rFonts w:ascii="Times New Roman" w:hAnsi="Times New Roman" w:eastAsia="Times New Roman"/>
          <w:i/>
          <w:sz w:val="24"/>
        </w:rPr>
        <w:t>ρ</w:t>
      </w:r>
      <w:r>
        <w:rPr>
          <w:rFonts w:ascii="Times New Roman" w:hAnsi="Times New Roman" w:eastAsia="Times New Roman"/>
          <w:sz w:val="24"/>
        </w:rPr>
        <w:t>.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GRADE Summary of Findings: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sz w:val="24"/>
              </w:rPr>
              <w:t>Trait (</w:t>
            </w:r>
            <w:r>
              <w:rPr>
                <w:rFonts w:ascii="Times New Roman" w:hAnsi="Times New Roman" w:eastAsia="Times New Roman"/>
                <w:i/>
                <w:sz w:val="24"/>
              </w:rPr>
              <w:t>k</w:t>
            </w:r>
            <w:r>
              <w:rPr>
                <w:rFonts w:ascii="Times New Roman" w:hAnsi="Times New Roman" w:eastAsia="Times New Roman"/>
                <w:sz w:val="24"/>
              </w:rPr>
              <w:t xml:space="preserve">, </w:t>
            </w:r>
            <w:r>
              <w:rPr>
                <w:rFonts w:ascii="Times New Roman" w:hAnsi="Times New Roman" w:eastAsia="Times New Roman"/>
                <w:i/>
                <w:sz w:val="24"/>
              </w:rPr>
              <w:t>N</w:t>
            </w:r>
            <w:r>
              <w:rPr>
                <w:rFonts w:ascii="Times New Roman" w:hAnsi="Times New Roman" w:eastAsia="Times New Roman"/>
                <w:sz w:val="24"/>
              </w:rPr>
              <w:t>)</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4"/>
              </w:rPr>
              <w:t>Conscientiousness</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=.094)</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Openness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=.045)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Extraversion</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JBI=5.8)</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=.255)</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Agreeableness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=.072)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Neuroticism</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=.304)</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eastAsia="Times New Roman"/>
          <w:sz w:val="24"/>
        </w:rPr>
        <w:t>Note. 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w:t>
      </w:r>
      <w:r>
        <w:rPr>
          <w:rFonts w:ascii="Times New Roman" w:hAnsi="Times New Roman" w:eastAsia="Times New Roman"/>
          <w:i/>
          <w:sz w:val="24"/>
        </w:rPr>
        <w:t>I²</w:t>
      </w:r>
      <w:r>
        <w:rPr>
          <w:rFonts w:ascii="Times New Roman" w:hAnsi="Times New Roman" w:eastAsia="Times New Roman"/>
          <w:sz w:val="24"/>
        </w:rPr>
        <w:t xml:space="preserve"> and prediction interval; serious if </w:t>
      </w:r>
      <w:r>
        <w:rPr>
          <w:rFonts w:ascii="Times New Roman" w:hAnsi="Times New Roman" w:eastAsia="Times New Roman"/>
          <w:i/>
          <w:sz w:val="24"/>
        </w:rPr>
        <w:t>I²</w:t>
      </w:r>
      <w:r>
        <w:rPr>
          <w:rFonts w:ascii="Times New Roman" w:hAnsi="Times New Roman" w:eastAsia="Times New Roman"/>
          <w:sz w:val="24"/>
        </w:rPr>
        <w:t xml:space="preserve"> &gt; 50%, very serious if </w:t>
      </w:r>
      <w:r>
        <w:rPr>
          <w:rFonts w:ascii="Times New Roman" w:hAnsi="Times New Roman" w:eastAsia="Times New Roman"/>
          <w:i/>
          <w:sz w:val="24"/>
        </w:rPr>
        <w:t>I²</w:t>
      </w:r>
      <w:r>
        <w:rPr>
          <w:rFonts w:ascii="Times New Roman" w:hAnsi="Times New Roman" w:eastAsia="Times New Roman"/>
          <w:sz w:val="24"/>
        </w:rPr>
        <w:t xml:space="preserve"> &gt; 75%), Indirectness (population, exposure, or outcome indirectness relative to the review question), Imprecision (serious if 95% CI crosses the null or is wider than 2 × MOI of |r| = .10), and Publication Bias (serious if Egger's test is significant at </w:t>
      </w:r>
      <w:r>
        <w:rPr>
          <w:rFonts w:ascii="Times New Roman" w:hAnsi="Times New Roman" w:eastAsia="Times New Roman"/>
          <w:i/>
          <w:sz w:val="24"/>
        </w:rPr>
        <w:t>p</w:t>
      </w:r>
      <w:r>
        <w:rPr>
          <w:rFonts w:ascii="Times New Roman" w:hAnsi="Times New Roman" w:eastAsia="Times New Roman"/>
          <w:sz w:val="24"/>
        </w:rPr>
        <w:t xml:space="preserve">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w:t>
      </w:r>
      <w:r>
        <w:rPr>
          <w:rFonts w:ascii="Times New Roman" w:hAnsi="Times New Roman" w:eastAsia="Times New Roman"/>
          <w:i/>
          <w:sz w:val="24"/>
        </w:rPr>
        <w:t>k</w:t>
      </w:r>
      <w:r>
        <w:rPr>
          <w:rFonts w:ascii="Times New Roman" w:hAnsi="Times New Roman" w:eastAsia="Times New Roman"/>
          <w:sz w:val="24"/>
        </w:rPr>
        <w:t xml:space="preserve"> of the available online-specific literature.</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 2020 Flow Diagram of the Study Selection Process</w:t>
      </w:r>
    </w:p>
    <w:p>
      <w:pPr>
        <w:jc w:val="center"/>
      </w:pPr>
      <w:r>
        <w:drawing>
          <wp:inline xmlns:a="http://schemas.openxmlformats.org/drawingml/2006/main" xmlns:pic="http://schemas.openxmlformats.org/drawingml/2006/picture">
            <wp:extent cx="5486400" cy="7251492"/>
            <wp:docPr id="1" name="Picture 1"/>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5486400" cy="7251492"/>
                    </a:xfrm>
                    <a:prstGeom prst="rect"/>
                  </pic:spPr>
                </pic:pic>
              </a:graphicData>
            </a:graphic>
          </wp:inline>
        </w:drawing>
      </w:r>
    </w:p>
    <w:p>
      <w:pPr>
        <w:spacing w:line="480" w:lineRule="auto" w:before="0" w:after="0"/>
      </w:pPr>
      <w:r>
        <w:rPr>
          <w:rFonts w:ascii="Times New Roman" w:hAnsi="Times New Roman" w:eastAsia="Times New Roman"/>
          <w:sz w:val="24"/>
        </w:rPr>
        <w:t>Note. Flow diagram adapted from the PRISMA 2020 statement (Page et al., 2021). Records were identified through WebSearch-based formal search (</w:t>
      </w:r>
      <w:r>
        <w:rPr>
          <w:rFonts w:ascii="Times New Roman" w:hAnsi="Times New Roman" w:eastAsia="Times New Roman"/>
          <w:i/>
          <w:sz w:val="24"/>
        </w:rPr>
        <w:t>n</w:t>
      </w:r>
      <w:r>
        <w:rPr>
          <w:rFonts w:ascii="Times New Roman" w:hAnsi="Times New Roman" w:eastAsia="Times New Roman"/>
          <w:sz w:val="24"/>
        </w:rPr>
        <w:t xml:space="preserve"> = 80 from eight structured queries), preliminary informal search yielding a previously curated corpus (</w:t>
      </w:r>
      <w:r>
        <w:rPr>
          <w:rFonts w:ascii="Times New Roman" w:hAnsi="Times New Roman" w:eastAsia="Times New Roman"/>
          <w:i/>
          <w:sz w:val="24"/>
        </w:rPr>
        <w:t>n</w:t>
      </w:r>
      <w:r>
        <w:rPr>
          <w:rFonts w:ascii="Times New Roman" w:hAnsi="Times New Roman" w:eastAsia="Times New Roman"/>
          <w:sz w:val="24"/>
        </w:rPr>
        <w:t xml:space="preserve"> = 28), and citation snowballing combined with open-access repository downloads (</w:t>
      </w:r>
      <w:r>
        <w:rPr>
          <w:rFonts w:ascii="Times New Roman" w:hAnsi="Times New Roman" w:eastAsia="Times New Roman"/>
          <w:i/>
          <w:sz w:val="24"/>
        </w:rPr>
        <w:t>n</w:t>
      </w:r>
      <w:r>
        <w:rPr>
          <w:rFonts w:ascii="Times New Roman" w:hAnsi="Times New Roman" w:eastAsia="Times New Roman"/>
          <w:sz w:val="24"/>
        </w:rPr>
        <w:t xml:space="preserve"> = 12), for a total of 120 records. After deduplication (</w:t>
      </w:r>
      <w:r>
        <w:rPr>
          <w:rFonts w:ascii="Times New Roman" w:hAnsi="Times New Roman" w:eastAsia="Times New Roman"/>
          <w:i/>
          <w:sz w:val="24"/>
        </w:rPr>
        <w:t>n</w:t>
      </w:r>
      <w:r>
        <w:rPr>
          <w:rFonts w:ascii="Times New Roman" w:hAnsi="Times New Roman" w:eastAsia="Times New Roman"/>
          <w:sz w:val="24"/>
        </w:rPr>
        <w:t xml:space="preserve"> = 40 removed), 80 records underwent title and abstract screening, with 25 excluded primarily for wrong population, non-Big-Five personality frameworks, or no online learning component. Of 43 full-text reports sought, 5 were not retrievable (paywall), and 38 were assessed for eligibility. Eleven reports were excluded at the full-text stage with explicit reasons: non-Big-Five framework (</w:t>
      </w:r>
      <w:r>
        <w:rPr>
          <w:rFonts w:ascii="Times New Roman" w:hAnsi="Times New Roman" w:eastAsia="Times New Roman"/>
          <w:i/>
          <w:sz w:val="24"/>
        </w:rPr>
        <w:t>n</w:t>
      </w:r>
      <w:r>
        <w:rPr>
          <w:rFonts w:ascii="Times New Roman" w:hAnsi="Times New Roman" w:eastAsia="Times New Roman"/>
          <w:sz w:val="24"/>
        </w:rPr>
        <w:t xml:space="preserve"> = 5; MBTI, Proactive Personality, TAM, TUE, and other non-FFM operationalization), face-to-face modality (</w:t>
      </w:r>
      <w:r>
        <w:rPr>
          <w:rFonts w:ascii="Times New Roman" w:hAnsi="Times New Roman" w:eastAsia="Times New Roman"/>
          <w:i/>
          <w:sz w:val="24"/>
        </w:rPr>
        <w:t>n</w:t>
      </w:r>
      <w:r>
        <w:rPr>
          <w:rFonts w:ascii="Times New Roman" w:hAnsi="Times New Roman" w:eastAsia="Times New Roman"/>
          <w:sz w:val="24"/>
        </w:rPr>
        <w:t xml:space="preserve"> = 4; A-09 Bhattacharjee &amp; Ramkumar, 2025; A-10 Boonyapison et al., 2025; A-14 Eilam et al., 2009; A-16 Hidalgo-Fuentes et al., 2024), sample overlap with an already-included study (</w:t>
      </w:r>
      <w:r>
        <w:rPr>
          <w:rFonts w:ascii="Times New Roman" w:hAnsi="Times New Roman" w:eastAsia="Times New Roman"/>
          <w:i/>
          <w:sz w:val="24"/>
        </w:rPr>
        <w:t>n</w:t>
      </w:r>
      <w:r>
        <w:rPr>
          <w:rFonts w:ascii="Times New Roman" w:hAnsi="Times New Roman" w:eastAsia="Times New Roman"/>
          <w:sz w:val="24"/>
        </w:rPr>
        <w:t xml:space="preserve"> = 1; A-05 Audet et al., 2023 overlapped with A-04 Audet et al., 2021), and effect size not extractable (</w:t>
      </w:r>
      <w:r>
        <w:rPr>
          <w:rFonts w:ascii="Times New Roman" w:hAnsi="Times New Roman" w:eastAsia="Times New Roman"/>
          <w:i/>
          <w:sz w:val="24"/>
        </w:rPr>
        <w:t>n</w:t>
      </w:r>
      <w:r>
        <w:rPr>
          <w:rFonts w:ascii="Times New Roman" w:hAnsi="Times New Roman" w:eastAsia="Times New Roman"/>
          <w:sz w:val="24"/>
        </w:rPr>
        <w:t xml:space="preserve"> = 1; A-24 Tlili et al., 2023, lag sequential analysis). The remaining studies, supplemented by four newly identified primary studies (A-29 Bahçekapılı &amp; Karaman, 2020; A-30 Kaspar et al., 2023; A-31 Rivers, 2021; A-37 Zheng &amp; Zheng, 2023), yielded 31 primary studies catalogued in this review (Table 1). Of these, 25 were retained for qualitative synthesis, and 10 contributed direct Pearson correlations or β-converted effect sizes to the primary quantitative achievement pool (with two studies — A-28 Yu, 2021 and A-30 Kaspar et al., 2023 — providing β-converted effect sizes via Peterson and Brown's, 2005, approximation). The remaining 15 retained studies contributed only to secondary-outcome narrative synthesis.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620779"/>
            <wp:docPr id="2" name="Picture 2"/>
            <wp:cNvGraphicFramePr>
              <a:graphicFrameLocks noChangeAspect="1"/>
            </wp:cNvGraphicFramePr>
            <a:graphic>
              <a:graphicData uri="http://schemas.openxmlformats.org/drawingml/2006/picture">
                <pic:pic>
                  <pic:nvPicPr>
                    <pic:cNvPr id="0" name="forest_C.png"/>
                    <pic:cNvPicPr/>
                  </pic:nvPicPr>
                  <pic:blipFill>
                    <a:blip r:embed="rId11"/>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403941"/>
            <wp:docPr id="3" name="Picture 3"/>
            <wp:cNvGraphicFramePr>
              <a:graphicFrameLocks noChangeAspect="1"/>
            </wp:cNvGraphicFramePr>
            <a:graphic>
              <a:graphicData uri="http://schemas.openxmlformats.org/drawingml/2006/picture">
                <pic:pic>
                  <pic:nvPicPr>
                    <pic:cNvPr id="0" name="forest_A.png"/>
                    <pic:cNvPicPr/>
                  </pic:nvPicPr>
                  <pic:blipFill>
                    <a:blip r:embed="rId12"/>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403941"/>
            <wp:docPr id="4" name="Picture 4"/>
            <wp:cNvGraphicFramePr>
              <a:graphicFrameLocks noChangeAspect="1"/>
            </wp:cNvGraphicFramePr>
            <a:graphic>
              <a:graphicData uri="http://schemas.openxmlformats.org/drawingml/2006/picture">
                <pic:pic>
                  <pic:nvPicPr>
                    <pic:cNvPr id="0" name="forest_O.png"/>
                    <pic:cNvPicPr/>
                  </pic:nvPicPr>
                  <pic:blipFill>
                    <a:blip r:embed="rId13"/>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620779"/>
            <wp:docPr id="5" name="Picture 5"/>
            <wp:cNvGraphicFramePr>
              <a:graphicFrameLocks noChangeAspect="1"/>
            </wp:cNvGraphicFramePr>
            <a:graphic>
              <a:graphicData uri="http://schemas.openxmlformats.org/drawingml/2006/picture">
                <pic:pic>
                  <pic:nvPicPr>
                    <pic:cNvPr id="0" name="forest_N.png"/>
                    <pic:cNvPicPr/>
                  </pic:nvPicPr>
                  <pic:blipFill>
                    <a:blip r:embed="rId14"/>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403941"/>
            <wp:docPr id="6" name="Picture 6"/>
            <wp:cNvGraphicFramePr>
              <a:graphicFrameLocks noChangeAspect="1"/>
            </wp:cNvGraphicFramePr>
            <a:graphic>
              <a:graphicData uri="http://schemas.openxmlformats.org/drawingml/2006/picture">
                <pic:pic>
                  <pic:nvPicPr>
                    <pic:cNvPr id="0" name="forest_E.png"/>
                    <pic:cNvPicPr/>
                  </pic:nvPicPr>
                  <pic:blipFill>
                    <a:blip r:embed="rId15"/>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7</w:t>
      </w:r>
    </w:p>
    <w:p>
      <w:pPr>
        <w:spacing w:line="480" w:lineRule="auto" w:before="0" w:after="0"/>
      </w:pPr>
      <w:r>
        <w:rPr>
          <w:rFonts w:ascii="Times New Roman" w:hAnsi="Times New Roman"/>
          <w:i/>
          <w:sz w:val="24"/>
        </w:rPr>
        <w:t>Funnel Plot: Conscientiousness and Academic Achievement in Online Learning Environments</w:t>
      </w:r>
    </w:p>
    <w:p>
      <w:pPr>
        <w:jc w:val="center"/>
      </w:pPr>
      <w:r>
        <w:drawing>
          <wp:inline xmlns:a="http://schemas.openxmlformats.org/drawingml/2006/main" xmlns:pic="http://schemas.openxmlformats.org/drawingml/2006/picture">
            <wp:extent cx="4572000" cy="3909391"/>
            <wp:docPr id="7" name="Picture 7"/>
            <wp:cNvGraphicFramePr>
              <a:graphicFrameLocks noChangeAspect="1"/>
            </wp:cNvGraphicFramePr>
            <a:graphic>
              <a:graphicData uri="http://schemas.openxmlformats.org/drawingml/2006/picture">
                <pic:pic>
                  <pic:nvPicPr>
                    <pic:cNvPr id="0" name="funnel_C.png"/>
                    <pic:cNvPicPr/>
                  </pic:nvPicPr>
                  <pic:blipFill>
                    <a:blip r:embed="rId16"/>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w:t>
      </w:r>
      <w:r>
        <w:rPr>
          <w:rFonts w:ascii="Times New Roman" w:hAnsi="Times New Roman" w:eastAsia="Times New Roman"/>
          <w:i/>
          <w:sz w:val="24"/>
        </w:rPr>
        <w:t>p</w:t>
      </w:r>
      <w:r>
        <w:rPr>
          <w:rFonts w:ascii="Times New Roman" w:hAnsi="Times New Roman" w:eastAsia="Times New Roman"/>
          <w:sz w:val="24"/>
        </w:rPr>
        <w:t xml:space="preserve"> = .094. See Table 4 for full publication-bias assessment.</w:t>
      </w:r>
    </w:p>
    <w:p>
      <w:r>
        <w:br w:type="page"/>
      </w:r>
    </w:p>
    <w:p>
      <w:pPr>
        <w:spacing w:line="480" w:lineRule="auto" w:before="0" w:after="0"/>
      </w:pPr>
      <w:r>
        <w:rPr>
          <w:rFonts w:ascii="Times New Roman" w:hAnsi="Times New Roman"/>
          <w:b/>
          <w:sz w:val="24"/>
        </w:rPr>
        <w:t>Figure 8</w:t>
      </w:r>
    </w:p>
    <w:p>
      <w:pPr>
        <w:spacing w:line="480" w:lineRule="auto" w:before="0" w:after="0"/>
      </w:pPr>
      <w:r>
        <w:rPr>
          <w:rFonts w:ascii="Times New Roman" w:hAnsi="Times New Roman"/>
          <w:i/>
          <w:sz w:val="24"/>
        </w:rPr>
        <w:t>Funnel Plot: Agreeableness and Academic Achievement in Online Learning Environments</w:t>
      </w:r>
    </w:p>
    <w:p>
      <w:pPr>
        <w:jc w:val="center"/>
      </w:pPr>
      <w:r>
        <w:drawing>
          <wp:inline xmlns:a="http://schemas.openxmlformats.org/drawingml/2006/main" xmlns:pic="http://schemas.openxmlformats.org/drawingml/2006/picture">
            <wp:extent cx="4572000" cy="3909391"/>
            <wp:docPr id="8" name="Picture 8"/>
            <wp:cNvGraphicFramePr>
              <a:graphicFrameLocks noChangeAspect="1"/>
            </wp:cNvGraphicFramePr>
            <a:graphic>
              <a:graphicData uri="http://schemas.openxmlformats.org/drawingml/2006/picture">
                <pic:pic>
                  <pic:nvPicPr>
                    <pic:cNvPr id="0" name="funnel_A.png"/>
                    <pic:cNvPicPr/>
                  </pic:nvPicPr>
                  <pic:blipFill>
                    <a:blip r:embed="rId17"/>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w:t>
      </w:r>
      <w:r>
        <w:rPr>
          <w:rFonts w:ascii="Times New Roman" w:hAnsi="Times New Roman" w:eastAsia="Times New Roman"/>
          <w:i/>
          <w:sz w:val="24"/>
        </w:rPr>
        <w:t>p</w:t>
      </w:r>
      <w:r>
        <w:rPr>
          <w:rFonts w:ascii="Times New Roman" w:hAnsi="Times New Roman" w:eastAsia="Times New Roman"/>
          <w:sz w:val="24"/>
        </w:rPr>
        <w:t xml:space="preserve"> = .072. See Table 4 for full publication-bias assessment.</w:t>
      </w:r>
    </w:p>
    <w:p>
      <w:r>
        <w:br w:type="page"/>
      </w:r>
    </w:p>
    <w:p>
      <w:pPr>
        <w:spacing w:line="480" w:lineRule="auto" w:before="0" w:after="0"/>
      </w:pPr>
      <w:r>
        <w:rPr>
          <w:rFonts w:ascii="Times New Roman" w:hAnsi="Times New Roman"/>
          <w:b/>
          <w:sz w:val="24"/>
        </w:rPr>
        <w:t>Figure 9</w:t>
      </w:r>
    </w:p>
    <w:p>
      <w:pPr>
        <w:spacing w:line="480" w:lineRule="auto" w:before="0" w:after="0"/>
      </w:pPr>
      <w:r>
        <w:rPr>
          <w:rFonts w:ascii="Times New Roman" w:hAnsi="Times New Roman"/>
          <w:i/>
          <w:sz w:val="24"/>
        </w:rPr>
        <w:t>Funnel Plot: Openness and Academic Achievement in Online Learning Environments</w:t>
      </w:r>
    </w:p>
    <w:p>
      <w:pPr>
        <w:jc w:val="center"/>
      </w:pPr>
      <w:r>
        <w:drawing>
          <wp:inline xmlns:a="http://schemas.openxmlformats.org/drawingml/2006/main" xmlns:pic="http://schemas.openxmlformats.org/drawingml/2006/picture">
            <wp:extent cx="4572000" cy="3909391"/>
            <wp:docPr id="9" name="Picture 9"/>
            <wp:cNvGraphicFramePr>
              <a:graphicFrameLocks noChangeAspect="1"/>
            </wp:cNvGraphicFramePr>
            <a:graphic>
              <a:graphicData uri="http://schemas.openxmlformats.org/drawingml/2006/picture">
                <pic:pic>
                  <pic:nvPicPr>
                    <pic:cNvPr id="0" name="funnel_O.png"/>
                    <pic:cNvPicPr/>
                  </pic:nvPicPr>
                  <pic:blipFill>
                    <a:blip r:embed="rId18"/>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w:t>
      </w:r>
      <w:r>
        <w:rPr>
          <w:rFonts w:ascii="Times New Roman" w:hAnsi="Times New Roman" w:eastAsia="Times New Roman"/>
          <w:i/>
          <w:sz w:val="24"/>
        </w:rPr>
        <w:t>p</w:t>
      </w:r>
      <w:r>
        <w:rPr>
          <w:rFonts w:ascii="Times New Roman" w:hAnsi="Times New Roman" w:eastAsia="Times New Roman"/>
          <w:sz w:val="24"/>
        </w:rPr>
        <w:t xml:space="preserve"> = .045. See Table 4 for full publication-bias assessment.</w:t>
      </w:r>
    </w:p>
    <w:p>
      <w:r>
        <w:br w:type="page"/>
      </w:r>
    </w:p>
    <w:p>
      <w:pPr>
        <w:spacing w:line="480" w:lineRule="auto" w:before="0" w:after="0"/>
      </w:pPr>
      <w:r>
        <w:rPr>
          <w:rFonts w:ascii="Times New Roman" w:hAnsi="Times New Roman"/>
          <w:b/>
          <w:sz w:val="24"/>
        </w:rPr>
        <w:t>Figure 10</w:t>
      </w:r>
    </w:p>
    <w:p>
      <w:pPr>
        <w:spacing w:line="480" w:lineRule="auto" w:before="0" w:after="0"/>
      </w:pPr>
      <w:r>
        <w:rPr>
          <w:rFonts w:ascii="Times New Roman" w:hAnsi="Times New Roman"/>
          <w:i/>
          <w:sz w:val="24"/>
        </w:rPr>
        <w:t>Funnel Plot: Neuroticism and Academic Achievement in Online Learning Environments</w:t>
      </w:r>
    </w:p>
    <w:p>
      <w:pPr>
        <w:jc w:val="center"/>
      </w:pPr>
      <w:r>
        <w:drawing>
          <wp:inline xmlns:a="http://schemas.openxmlformats.org/drawingml/2006/main" xmlns:pic="http://schemas.openxmlformats.org/drawingml/2006/picture">
            <wp:extent cx="4572000" cy="3909391"/>
            <wp:docPr id="10" name="Picture 10"/>
            <wp:cNvGraphicFramePr>
              <a:graphicFrameLocks noChangeAspect="1"/>
            </wp:cNvGraphicFramePr>
            <a:graphic>
              <a:graphicData uri="http://schemas.openxmlformats.org/drawingml/2006/picture">
                <pic:pic>
                  <pic:nvPicPr>
                    <pic:cNvPr id="0" name="funnel_N.png"/>
                    <pic:cNvPicPr/>
                  </pic:nvPicPr>
                  <pic:blipFill>
                    <a:blip r:embed="rId19"/>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w:t>
      </w:r>
      <w:r>
        <w:rPr>
          <w:rFonts w:ascii="Times New Roman" w:hAnsi="Times New Roman" w:eastAsia="Times New Roman"/>
          <w:i/>
          <w:sz w:val="24"/>
        </w:rPr>
        <w:t>p</w:t>
      </w:r>
      <w:r>
        <w:rPr>
          <w:rFonts w:ascii="Times New Roman" w:hAnsi="Times New Roman" w:eastAsia="Times New Roman"/>
          <w:sz w:val="24"/>
        </w:rPr>
        <w:t xml:space="preserve"> = .304. See Table 4 for full publication-bias assessment.</w:t>
      </w:r>
    </w:p>
    <w:p>
      <w:r>
        <w:br w:type="page"/>
      </w:r>
    </w:p>
    <w:p>
      <w:pPr>
        <w:spacing w:line="480" w:lineRule="auto" w:before="0" w:after="0"/>
      </w:pPr>
      <w:r>
        <w:rPr>
          <w:rFonts w:ascii="Times New Roman" w:hAnsi="Times New Roman"/>
          <w:b/>
          <w:sz w:val="24"/>
        </w:rPr>
        <w:t>Figure 11</w:t>
      </w:r>
    </w:p>
    <w:p>
      <w:pPr>
        <w:spacing w:line="480" w:lineRule="auto" w:before="0" w:after="0"/>
      </w:pPr>
      <w:r>
        <w:rPr>
          <w:rFonts w:ascii="Times New Roman" w:hAnsi="Times New Roman"/>
          <w:i/>
          <w:sz w:val="24"/>
        </w:rPr>
        <w:t>Funnel Plot: Extraversion and Academic Achievement in Online Learning Environments</w:t>
      </w:r>
    </w:p>
    <w:p>
      <w:pPr>
        <w:jc w:val="center"/>
      </w:pPr>
      <w:r>
        <w:drawing>
          <wp:inline xmlns:a="http://schemas.openxmlformats.org/drawingml/2006/main" xmlns:pic="http://schemas.openxmlformats.org/drawingml/2006/picture">
            <wp:extent cx="4572000" cy="3909391"/>
            <wp:docPr id="11" name="Picture 11"/>
            <wp:cNvGraphicFramePr>
              <a:graphicFrameLocks noChangeAspect="1"/>
            </wp:cNvGraphicFramePr>
            <a:graphic>
              <a:graphicData uri="http://schemas.openxmlformats.org/drawingml/2006/picture">
                <pic:pic>
                  <pic:nvPicPr>
                    <pic:cNvPr id="0" name="funnel_E.png"/>
                    <pic:cNvPicPr/>
                  </pic:nvPicPr>
                  <pic:blipFill>
                    <a:blip r:embed="rId20"/>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w:t>
      </w:r>
      <w:r>
        <w:rPr>
          <w:rFonts w:ascii="Times New Roman" w:hAnsi="Times New Roman" w:eastAsia="Times New Roman"/>
          <w:i/>
          <w:sz w:val="24"/>
        </w:rPr>
        <w:t>p</w:t>
      </w:r>
      <w:r>
        <w:rPr>
          <w:rFonts w:ascii="Times New Roman" w:hAnsi="Times New Roman" w:eastAsia="Times New Roman"/>
          <w:sz w:val="24"/>
        </w:rPr>
        <w:t xml:space="preserve"> = .255. See Table 4 for full publication-bias assessment.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