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study is a systematic review and meta-analysis of previously published quantitative research and did not involve any direct collection of data from human participants by the present author. As no new primary data were collected, no Institutional Review Board (IRB) or Research Ethics Committee approval was required for the conduct of this synthesis. The conduct of this review followed the ethical principles outlined in the Declaration of Helsinki (as revised in 2013) and the PRISMA 2020 reporting guidelines for systematic reviews. Ethical approval for each of the included primary studies was the responsibility of the original investigators of those studies, as documented in their respective publications.</w:t>
      </w:r>
    </w:p>
    <w:p>
      <w:pPr>
        <w:spacing w:line="480" w:lineRule="auto" w:before="0" w:after="0"/>
      </w:pPr>
    </w:p>
    <w:p>
      <w:pPr>
        <w:spacing w:line="480" w:lineRule="auto" w:before="0" w:after="0"/>
      </w:pPr>
      <w:r>
        <w:rPr>
          <w:rFonts w:ascii="Times New Roman" w:hAnsi="Times New Roman" w:eastAsia="Times New Roman"/>
          <w:b/>
          <w:sz w:val="24"/>
        </w:rPr>
        <w:t>Consent to Participate</w:t>
      </w:r>
    </w:p>
    <w:p>
      <w:pPr>
        <w:spacing w:line="480" w:lineRule="auto" w:before="0" w:after="0"/>
      </w:pPr>
      <w:r>
        <w:rPr>
          <w:rFonts w:ascii="Times New Roman" w:hAnsi="Times New Roman" w:eastAsia="Times New Roman"/>
          <w:sz w:val="24"/>
        </w:rPr>
        <w:t>Not applicable. This systematic review and meta-analysis did not involve any direct interaction with, or recruitment of, human participants by the present author. Informed consent and consent to participate for the underlying data were obtained by the original investigators of each included primary study at the time of original data collection, in accordance with the institutional and ethical standards applicable at that time.</w:t>
      </w:r>
    </w:p>
    <w:p>
      <w:pPr>
        <w:spacing w:line="480" w:lineRule="auto" w:before="0" w:after="0"/>
      </w:pPr>
    </w:p>
    <w:p>
      <w:pPr>
        <w:spacing w:line="480" w:lineRule="auto" w:before="0" w:after="0"/>
      </w:pPr>
      <w:r>
        <w:rPr>
          <w:rFonts w:ascii="Times New Roman" w:hAnsi="Times New Roman" w:eastAsia="Times New Roman"/>
          <w:b/>
          <w:sz w:val="24"/>
        </w:rPr>
        <w:t>Consent for Publication</w:t>
      </w:r>
    </w:p>
    <w:p>
      <w:pPr>
        <w:spacing w:line="480" w:lineRule="auto" w:before="0" w:after="0"/>
      </w:pPr>
      <w:r>
        <w:rPr>
          <w:rFonts w:ascii="Times New Roman" w:hAnsi="Times New Roman" w:eastAsia="Times New Roman"/>
          <w:sz w:val="24"/>
        </w:rPr>
        <w:t>Not applicable. This manuscript does not contain any individual person's data in any form (including individual details, images, or videos).</w:t>
      </w:r>
    </w:p>
    <w:p>
      <w:pPr>
        <w:spacing w:line="480" w:lineRule="auto" w:before="0" w:after="0"/>
      </w:pPr>
    </w:p>
    <w:p>
      <w:pPr>
        <w:spacing w:line="480" w:lineRule="auto" w:before="0" w:after="0"/>
      </w:pPr>
      <w:r>
        <w:rPr>
          <w:rFonts w:ascii="Times New Roman" w:hAnsi="Times New Roman" w:eastAsia="Times New Roman"/>
          <w:b/>
          <w:sz w:val="24"/>
        </w:rPr>
        <w:t>Human Ethics and Consent to Participate Declarations</w:t>
      </w:r>
    </w:p>
    <w:p>
      <w:pPr>
        <w:spacing w:line="480" w:lineRule="auto" w:before="0" w:after="0"/>
      </w:pPr>
      <w:r>
        <w:rPr>
          <w:rFonts w:ascii="Times New Roman" w:hAnsi="Times New Roman" w:eastAsia="Times New Roman"/>
          <w:sz w:val="24"/>
        </w:rPr>
        <w:t>Not applicable.</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Availability Statement</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(13 of 25 retained studies); NEO-family, IPIP, HEXACO, and TIPI/TIPI-J together contributed fewer than three studies each in the retained set. Within the primary achievement pool, Conscientiousness estimates were comparable across BFI-44 studies (</w:t>
      </w:r>
      <w:r>
        <w:rPr>
          <w:rFonts w:ascii="Times New Roman" w:hAnsi="Times New Roman" w:eastAsia="Times New Roman"/>
          <w:i/>
          <w:sz w:val="24"/>
        </w:rPr>
        <w:t>r</w:t>
      </w:r>
      <w:r>
        <w:rPr>
          <w:rFonts w:ascii="Times New Roman" w:hAnsi="Times New Roman" w:eastAsia="Times New Roman"/>
          <w:sz w:val="24"/>
        </w:rPr>
        <w:t xml:space="preserve"> range from .068 in Bahçekapılı &amp; Karaman, 2020 to .37 in Abe, 2020 paper-grade outcome),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(Yu, 2021 and Kaspar et al., 2023). Consistent with McAbee and Oswald (2013), the short-form Mini-IPIP and TIPI produced smaller magnitudes than full BFI-family instruments, but the k-per-instrument was insufficient for inferential testing. (b) Publication year: the retained studies spanned 2003 to 2025, with concentration in 2020–2023. A scatter-plot inspection of year vs. effect size (not reported) indicated no systematic trend. (c) Log-sample size: among the 10 studies in the primary quantitative pool, larger samples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Zheng &amp; Zheng, 2023 </w:t>
      </w:r>
      <w:r>
        <w:rPr>
          <w:rFonts w:ascii="Times New Roman" w:hAnsi="Times New Roman" w:eastAsia="Times New Roman"/>
          <w:i/>
          <w:sz w:val="24"/>
        </w:rPr>
        <w:t>N</w:t>
      </w:r>
      <w:r>
        <w:rPr>
          <w:rFonts w:ascii="Times New Roman" w:hAnsi="Times New Roman" w:eastAsia="Times New Roman"/>
          <w:sz w:val="24"/>
        </w:rPr>
        <w:t xml:space="preserve"> = 282; Rodrigues et al., 2024 </w:t>
      </w:r>
      <w:r>
        <w:rPr>
          <w:rFonts w:ascii="Times New Roman" w:hAnsi="Times New Roman" w:eastAsia="Times New Roman"/>
          <w:i/>
          <w:sz w:val="24"/>
        </w:rPr>
        <w:t>N</w:t>
      </w:r>
      <w:r>
        <w:rPr>
          <w:rFonts w:ascii="Times New Roman" w:hAnsi="Times New Roman" w:eastAsia="Times New Roman"/>
          <w:sz w:val="24"/>
        </w:rPr>
        <w:t xml:space="preserve"> = 260;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two smallest pool members (Abe, 2020 </w:t>
      </w:r>
      <w:r>
        <w:rPr>
          <w:rFonts w:ascii="Times New Roman" w:hAnsi="Times New Roman" w:eastAsia="Times New Roman"/>
          <w:i/>
          <w:sz w:val="24"/>
        </w:rPr>
        <w:t>N</w:t>
      </w:r>
      <w:r>
        <w:rPr>
          <w:rFonts w:ascii="Times New Roman" w:hAnsi="Times New Roman" w:eastAsia="Times New Roman"/>
          <w:sz w:val="24"/>
        </w:rPr>
        <w:t xml:space="preserve"> = 92; Elvers et al., 2003 online subset </w:t>
      </w:r>
      <w:r>
        <w:rPr>
          <w:rFonts w:ascii="Times New Roman" w:hAnsi="Times New Roman" w:eastAsia="Times New Roman"/>
          <w:i/>
          <w:sz w:val="24"/>
        </w:rPr>
        <w:t>N</w:t>
      </w:r>
      <w:r>
        <w:rPr>
          <w:rFonts w:ascii="Times New Roman" w:hAnsi="Times New Roman" w:eastAsia="Times New Roman"/>
          <w:sz w:val="24"/>
        </w:rPr>
        <w:t xml:space="preserve"> = 21;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among the 25 retained studies, only one was not-explicitly-online (A-13 Dang et al., 2025; general learning-engagement scale not online-specific) and one (A-02 Alkış &amp; Taşkaya Temizel, 2018) contributed both online (</w:t>
      </w:r>
      <w:r>
        <w:rPr>
          <w:rFonts w:ascii="Times New Roman" w:hAnsi="Times New Roman" w:eastAsia="Times New Roman"/>
          <w:i/>
          <w:sz w:val="24"/>
        </w:rPr>
        <w:t>N</w:t>
      </w:r>
      <w:r>
        <w:rPr>
          <w:rFonts w:ascii="Times New Roman" w:hAnsi="Times New Roman" w:eastAsia="Times New Roman"/>
          <w:sz w:val="24"/>
        </w:rPr>
        <w:t xml:space="preserve"> = 189) and blended (</w:t>
      </w:r>
      <w:r>
        <w:rPr>
          <w:rFonts w:ascii="Times New Roman" w:hAnsi="Times New Roman" w:eastAsia="Times New Roman"/>
          <w:i/>
          <w:sz w:val="24"/>
        </w:rPr>
        <w:t>N</w:t>
      </w:r>
      <w:r>
        <w:rPr>
          <w:rFonts w:ascii="Times New Roman" w:hAnsi="Times New Roman" w:eastAsia="Times New Roman"/>
          <w:sz w:val="24"/>
        </w:rPr>
        <w:t xml:space="preserve"> = 127) subsamples. A-28 Yu's MOOC context is itself a form of online learning. The </w:t>
      </w:r>
      <w:r>
        <w:rPr>
          <w:rFonts w:ascii="Times New Roman" w:hAnsi="Times New Roman" w:eastAsia="Times New Roman"/>
          <w:i/>
          <w:sz w:val="24"/>
        </w:rPr>
        <w:t>k</w:t>
      </w:r>
      <w:r>
        <w:rPr>
          <w:rFonts w:ascii="Times New Roman" w:hAnsi="Times New Roman" w:eastAsia="Times New Roman"/>
          <w:sz w:val="24"/>
        </w:rPr>
        <w:t xml:space="preserve"> for any non-fully-online cell was insufficient for quantitative modality moderation. (f) Education level: 2 K-12 studies were retained (A-25 Tokiwa, 2025; A-26 Wang et al., 2023), with an additional K-12 record (A-10 Boonyapison et al., 2025) excluded for face-to-face modality. Neither retained K-12 study contributed direct or β-converted </w:t>
      </w:r>
      <w:r>
        <w:rPr>
          <w:rFonts w:ascii="Times New Roman" w:hAnsi="Times New Roman" w:eastAsia="Times New Roman"/>
          <w:i/>
          <w:sz w:val="24"/>
        </w:rPr>
        <w:t>r</w:t>
      </w:r>
      <w:r>
        <w:rPr>
          <w:rFonts w:ascii="Times New Roman" w:hAnsi="Times New Roman" w:eastAsia="Times New Roman"/>
          <w:sz w:val="24"/>
        </w:rPr>
        <w:t xml:space="preserve"> to the primary quantitative achievement pool: A-25 reported test-completion outcomes without extractable achievement </w:t>
      </w:r>
      <w:r>
        <w:rPr>
          <w:rFonts w:ascii="Times New Roman" w:hAnsi="Times New Roman" w:eastAsia="Times New Roman"/>
          <w:i/>
          <w:sz w:val="24"/>
        </w:rPr>
        <w:t>r</w:t>
      </w:r>
      <w:r>
        <w:rPr>
          <w:rFonts w:ascii="Times New Roman" w:hAnsi="Times New Roman" w:eastAsia="Times New Roman"/>
          <w:sz w:val="24"/>
        </w:rPr>
        <w:t xml:space="preserve">, and A-26 reported only a </w:t>
      </w:r>
      <w:r>
        <w:rPr>
          <w:rFonts w:ascii="Times New Roman" w:hAnsi="Times New Roman" w:eastAsia="Times New Roman"/>
          <w:i/>
          <w:sz w:val="24"/>
        </w:rPr>
        <w:t>β</w:t>
      </w:r>
      <w:r>
        <w:rPr>
          <w:rFonts w:ascii="Times New Roman" w:hAnsi="Times New Roman" w:eastAsia="Times New Roman"/>
          <w:sz w:val="24"/>
        </w:rPr>
        <w:t xml:space="preserve"> path through engagement (no direct trait–achievement </w:t>
      </w:r>
      <w:r>
        <w:rPr>
          <w:rFonts w:ascii="Times New Roman" w:hAnsi="Times New Roman" w:eastAsia="Times New Roman"/>
          <w:i/>
          <w:sz w:val="24"/>
        </w:rPr>
        <w:t>r</w:t>
      </w:r>
      <w:r>
        <w:rPr>
          <w:rFonts w:ascii="Times New Roman" w:hAnsi="Times New Roman" w:eastAsia="Times New Roman"/>
          <w:sz w:val="24"/>
        </w:rPr>
        <w:t>). The K-12 contribution to the present synthesis is therefore narrative-only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and Tsaknis's (2021) 30-item custom scale, Chinese-language Big Five scales of A-20 Mustafa et al. (2022) and A-26 Wang et al. (2023),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Within the primary pool the largest Agreeableness contribution came from a single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confirmed Yu as the most influential study for the Agreeableness estimate (removal shifts </w:t>
      </w:r>
      <w:r>
        <w:rPr>
          <w:rFonts w:ascii="Times New Roman" w:hAnsi="Times New Roman" w:eastAsia="Times New Roman"/>
          <w:i/>
          <w:sz w:val="24"/>
        </w:rPr>
        <w:t>r</w:t>
      </w:r>
      <w:r>
        <w:rPr>
          <w:rFonts w:ascii="Times New Roman" w:hAnsi="Times New Roman" w:eastAsia="Times New Roman"/>
          <w:sz w:val="24"/>
        </w:rPr>
        <w:t xml:space="preserve"> from .112 to .038).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and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provide narrative support for Agreeableness amplification in East Asian and Israeli samples respectively, but neither contributed direct correlations to the primary pool.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Within the 10-study primary Neuroticism pool, signs were mixed: Rodrigues et al. (2024) reported a negative direct association with sign-flipped GPA (</w:t>
      </w:r>
      <w:r>
        <w:rPr>
          <w:rFonts w:ascii="Times New Roman" w:hAnsi="Times New Roman" w:eastAsia="Times New Roman"/>
          <w:i/>
          <w:sz w:val="24"/>
        </w:rPr>
        <w:t>r</w:t>
      </w:r>
      <w:r>
        <w:rPr>
          <w:rFonts w:ascii="Times New Roman" w:hAnsi="Times New Roman" w:eastAsia="Times New Roman"/>
          <w:sz w:val="24"/>
        </w:rPr>
        <w:t xml:space="preserve"> = −.142), and Bahçekapılı and Karaman (2020) likewise reported a negative direct </w:t>
      </w:r>
      <w:r>
        <w:rPr>
          <w:rFonts w:ascii="Times New Roman" w:hAnsi="Times New Roman" w:eastAsia="Times New Roman"/>
          <w:i/>
          <w:sz w:val="24"/>
        </w:rPr>
        <w:t>r</w:t>
      </w:r>
      <w:r>
        <w:rPr>
          <w:rFonts w:ascii="Times New Roman" w:hAnsi="Times New Roman" w:eastAsia="Times New Roman"/>
          <w:sz w:val="24"/>
        </w:rPr>
        <w:t xml:space="preserve"> (−.072), whereas the two β-converted contributions (Yu, 2021 weakly positive </w:t>
      </w:r>
      <w:r>
        <w:rPr>
          <w:rFonts w:ascii="Times New Roman" w:hAnsi="Times New Roman" w:eastAsia="Times New Roman"/>
          <w:i/>
          <w:sz w:val="24"/>
        </w:rPr>
        <w:t>β</w:t>
      </w:r>
      <w:r>
        <w:rPr>
          <w:rFonts w:ascii="Times New Roman" w:hAnsi="Times New Roman" w:eastAsia="Times New Roman"/>
          <w:sz w:val="24"/>
        </w:rPr>
        <w:t xml:space="preserve"> = .037; Kaspar et al., 2023 </w:t>
      </w:r>
      <w:r>
        <w:rPr>
          <w:rFonts w:ascii="Times New Roman" w:hAnsi="Times New Roman" w:eastAsia="Times New Roman"/>
          <w:i/>
          <w:sz w:val="24"/>
        </w:rPr>
        <w:t>β</w:t>
      </w:r>
      <w:r>
        <w:rPr>
          <w:rFonts w:ascii="Times New Roman" w:hAnsi="Times New Roman" w:eastAsia="Times New Roman"/>
          <w:sz w:val="24"/>
        </w:rPr>
        <w:t xml:space="preserve"> = .20 driven by a suppressor effect of covariates) pulled the pooled estimate toward zero. Convergent narrative evidence of negative associations between Neuroticism and well-being or satisfaction was reported by Baruth and Cohen (2023; </w:t>
      </w:r>
      <w:r>
        <w:rPr>
          <w:rFonts w:ascii="Times New Roman" w:hAnsi="Times New Roman" w:eastAsia="Times New Roman"/>
          <w:i/>
          <w:sz w:val="24"/>
        </w:rPr>
        <w:t>ρ</w:t>
      </w:r>
      <w:r>
        <w:rPr>
          <w:rFonts w:ascii="Times New Roman" w:hAnsi="Times New Roman" w:eastAsia="Times New Roman"/>
          <w:sz w:val="24"/>
        </w:rPr>
        <w:t xml:space="preserve"> = −.542 with general satisfaction; secondary-outcome study, not in the primary pool).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could not be isolated as a moderator subgroup because no explicitly post-COVID study contributed direct or β-converted Pearson correlations to the primary quantitative pool (the 4 post-COVID studies in the qualitative-synthesis retained set — A-13 Dang et al., 2025; A-17 Kara, 2024; A-25 Tokiwa, 2025; A-26 Wang et al., 2023 — are described narratively only).</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single most influential study for both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.038, |Δr| = .074) and the Extraversion pool (removal shifted </w:t>
      </w:r>
      <w:r>
        <w:rPr>
          <w:rFonts w:ascii="Times New Roman" w:hAnsi="Times New Roman" w:eastAsia="Times New Roman"/>
          <w:i/>
          <w:sz w:val="24"/>
        </w:rPr>
        <w:t>r</w:t>
      </w:r>
      <w:r>
        <w:rPr>
          <w:rFonts w:ascii="Times New Roman" w:hAnsi="Times New Roman" w:eastAsia="Times New Roman"/>
          <w:sz w:val="24"/>
        </w:rPr>
        <w:t xml:space="preserve"> from .002 to .031, |Δr| = .028), reflecting Yu's MOOC composite as the largest β-converted objective-outcome contribution in the synthesis. No other study produced |Δr| &gt; .05 on any trait.</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5.8),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or β-converted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primarily by a single influential Chinese MOOC sample (Yu, 2021) within the primary pool, with convergent narrative evidence from East Asian (Wang et al., 2023) and Israeli (Baruth &amp; Cohen, 2023) secondary-outcome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Within the 9-study primary Agreeableness pool, the pooled estimate is driven principally by a single influential Chinese MOOC sample (A-28 Yu, 2021; converted </w:t>
      </w:r>
      <w:r>
        <w:rPr>
          <w:rFonts w:ascii="Times New Roman" w:hAnsi="Times New Roman" w:eastAsia="Times New Roman"/>
          <w:i/>
          <w:sz w:val="24"/>
        </w:rPr>
        <w:t>β</w:t>
      </w:r>
      <w:r>
        <w:rPr>
          <w:rFonts w:ascii="Times New Roman" w:hAnsi="Times New Roman" w:eastAsia="Times New Roman"/>
          <w:sz w:val="24"/>
        </w:rPr>
        <w:t xml:space="preserve"> = .442); leave-one-out analysis confirms that removing Yu drops the pooled </w:t>
      </w:r>
      <w:r>
        <w:rPr>
          <w:rFonts w:ascii="Times New Roman" w:hAnsi="Times New Roman" w:eastAsia="Times New Roman"/>
          <w:i/>
          <w:sz w:val="24"/>
        </w:rPr>
        <w:t>r</w:t>
      </w:r>
      <w:r>
        <w:rPr>
          <w:rFonts w:ascii="Times New Roman" w:hAnsi="Times New Roman" w:eastAsia="Times New Roman"/>
          <w:sz w:val="24"/>
        </w:rPr>
        <w:t xml:space="preserve"> from .112 to .038. Convergent narrative evidence for Agreeableness amplification in East Asian online learners is provided by Wang et al. (2023; </w:t>
      </w:r>
      <w:r>
        <w:rPr>
          <w:rFonts w:ascii="Times New Roman" w:hAnsi="Times New Roman" w:eastAsia="Times New Roman"/>
          <w:i/>
          <w:sz w:val="24"/>
        </w:rPr>
        <w:t>β</w:t>
      </w:r>
      <w:r>
        <w:rPr>
          <w:rFonts w:ascii="Times New Roman" w:hAnsi="Times New Roman" w:eastAsia="Times New Roman"/>
          <w:sz w:val="24"/>
        </w:rPr>
        <w:t xml:space="preserve"> = .112 from Agreeableness to engagement; K-12 sample retained for qualitative synthesis but not in the primary pool) and in Israeli samples by Baruth and Cohen (2023; </w:t>
      </w:r>
      <w:r>
        <w:rPr>
          <w:rFonts w:ascii="Times New Roman" w:hAnsi="Times New Roman" w:eastAsia="Times New Roman"/>
          <w:i/>
          <w:sz w:val="24"/>
        </w:rPr>
        <w:t>ρ</w:t>
      </w:r>
      <w:r>
        <w:rPr>
          <w:rFonts w:ascii="Times New Roman" w:hAnsi="Times New Roman" w:eastAsia="Times New Roman"/>
          <w:sz w:val="24"/>
        </w:rPr>
        <w:t xml:space="preserve"> = .458 with satisfaction; retained as a secondary-outcome study, not in the primary pool). These directional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The first component of H4 — an overall negative pooled effect — is not supported by the primary analysis. The second component of H4 — a more pronounced negative effect in fully online than in blended modalities — could not be evaluated quantitatively because only one study (A-02 Alkış &amp; Taşkaya Temizel, 2018) contributed a separately extractable blended subsample, precluding a fully-online-vs-blended modality contrast.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providing partial directional support for the H4 sign prediction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overall effect. The overall H5 prediction is therefore supported. The proposed facet-level cancellation mechanism (sociability negative vs. assertiveness positive) could not be directly tested because few primary studies report Extraversion at the facet level, and a quantitative facet-level synthesis was not feasible (see Limitations). Moreover, two moderator analyses revealed systematic contextual conditions under which Extraversion shifts in the negative direction at the trait level: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 Whether these contextual shifts reflect the H5 facet-cancellation mechanism (e.g., assertiveness facets activated more strongly in individualistic vs. collectivistic contexts) or a separate trait-level mechanism remains an open question for facet-level primary research.</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could not be evaluated quantitatively because no post-COVID study contributed correlations to the primary pool (</w:t>
      </w:r>
      <w:r>
        <w:rPr>
          <w:rFonts w:ascii="Times New Roman" w:hAnsi="Times New Roman" w:eastAsia="Times New Roman"/>
          <w:i/>
          <w:sz w:val="24"/>
        </w:rPr>
        <w:t>k</w:t>
      </w:r>
      <w:r>
        <w:rPr>
          <w:rFonts w:ascii="Times New Roman" w:hAnsi="Times New Roman" w:eastAsia="Times New Roman"/>
          <w:sz w:val="24"/>
        </w:rPr>
        <w:t xml:space="preserve"> = 0 in the moderator analysis, with 4 post-COVID studies retained for qualitative synthesis only);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qualitative-synthesis retained set as a potentially eligible record. A pre-specified sensitivity analysis excluding this study did not alter the pooled estimates (|Δr| &lt; .001 for every trait) because Tokiwa (2025) did not contribute extractable zero-order correlations to the primary quantitative pool; both the primary and sensitivity results are reported transparently in Table 4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primarily by a single Chinese MOOC sample (Yu, 2021) with convergent narrative evidence from other East Asian and Israeli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Ashouri, A., Taheri, </w:t>
      </w:r>
      <w:r>
        <w:rPr>
          <w:rFonts w:ascii="Times New Roman" w:hAnsi="Times New Roman" w:eastAsia="Times New Roman"/>
          <w:i/>
          <w:sz w:val="24"/>
        </w:rPr>
        <w:t>M</w:t>
      </w:r>
      <w:r>
        <w:rPr>
          <w:rFonts w:ascii="Times New Roman" w:hAnsi="Times New Roman" w:eastAsia="Times New Roman"/>
          <w:sz w:val="24"/>
        </w:rPr>
        <w:t xml:space="preserve">., Rasouli, </w:t>
      </w:r>
      <w:r>
        <w:rPr>
          <w:rFonts w:ascii="Times New Roman" w:hAnsi="Times New Roman" w:eastAsia="Times New Roman"/>
          <w:i/>
          <w:sz w:val="24"/>
        </w:rPr>
        <w:t>M</w:t>
      </w:r>
      <w:r>
        <w:rPr>
          <w:rFonts w:ascii="Times New Roman" w:hAnsi="Times New Roman" w:eastAsia="Times New Roman"/>
          <w:sz w:val="24"/>
        </w:rPr>
        <w:t>., &amp; Rouhalamin, S. (2025). Personality traits and e-learning course satisfaction: A study of health science students. Cureus, 17(7), e89131.</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Bhagat, K. K., Wu, L. Y., &amp; Chang, C. Y. (2019). The impact of personality on students' perceptions towards online learning. </w:t>
      </w:r>
      <w:r>
        <w:rPr>
          <w:rFonts w:ascii="Times New Roman" w:hAnsi="Times New Roman" w:eastAsia="Times New Roman"/>
          <w:i/>
          <w:sz w:val="24"/>
        </w:rPr>
        <w:t>Australasian Journal of Educational Technology, 35</w:t>
      </w:r>
      <w:r>
        <w:rPr>
          <w:rFonts w:ascii="Times New Roman" w:hAnsi="Times New Roman" w:eastAsia="Times New Roman"/>
          <w:sz w:val="24"/>
        </w:rPr>
        <w:t>(4), 98–108. https://doi.org/10.14742/ajet.4162</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Dang, T., Du, W., Niu, </w:t>
      </w:r>
      <w:r>
        <w:rPr>
          <w:rFonts w:ascii="Times New Roman" w:hAnsi="Times New Roman" w:eastAsia="Times New Roman"/>
          <w:i/>
          <w:sz w:val="24"/>
        </w:rPr>
        <w:t>M</w:t>
      </w:r>
      <w:r>
        <w:rPr>
          <w:rFonts w:ascii="Times New Roman" w:hAnsi="Times New Roman" w:eastAsia="Times New Roman"/>
          <w:sz w:val="24"/>
        </w:rPr>
        <w:t>., &amp; Xu, Z. (2025). The effects of personality traits on learning engagement among college students: The mediating role of emotion regulation. Frontiers in Psychology, 15, 1476437. https://doi.org/10.3389/fpsyg.2024.1476437</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Kara, A., Ergulec, </w:t>
      </w:r>
      <w:r>
        <w:rPr>
          <w:rFonts w:ascii="Times New Roman" w:hAnsi="Times New Roman" w:eastAsia="Times New Roman"/>
          <w:i/>
          <w:sz w:val="24"/>
        </w:rPr>
        <w:t>F</w:t>
      </w:r>
      <w:r>
        <w:rPr>
          <w:rFonts w:ascii="Times New Roman" w:hAnsi="Times New Roman" w:eastAsia="Times New Roman"/>
          <w:sz w:val="24"/>
        </w:rPr>
        <w:t>., &amp; Eren, E. (2024). The mediating role of self-regulated online learning behaviors: Exploring the impact of personality traits on student engagement. Education and Information Technologies, 29, 23517–23546. https://doi.org/10.1007/s10639-024-12755-3</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Keller, H., &amp; Karau, S. J. (2013). The importance of personality in students' perceptions of the online learning experience. </w:t>
      </w:r>
      <w:r>
        <w:rPr>
          <w:rFonts w:ascii="Times New Roman" w:hAnsi="Times New Roman" w:eastAsia="Times New Roman"/>
          <w:i/>
          <w:sz w:val="24"/>
        </w:rPr>
        <w:t>Computers in Human Behavior, 29</w:t>
      </w:r>
      <w:r>
        <w:rPr>
          <w:rFonts w:ascii="Times New Roman" w:hAnsi="Times New Roman" w:eastAsia="Times New Roman"/>
          <w:sz w:val="24"/>
        </w:rPr>
        <w:t>(6), 2494–2500. https://doi.org/10.1016/j.chb.2013.06.007</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Nakayama, </w:t>
      </w:r>
      <w:r>
        <w:rPr>
          <w:rFonts w:ascii="Times New Roman" w:hAnsi="Times New Roman" w:eastAsia="Times New Roman"/>
          <w:i/>
          <w:sz w:val="24"/>
        </w:rPr>
        <w:t>M</w:t>
      </w:r>
      <w:r>
        <w:rPr>
          <w:rFonts w:ascii="Times New Roman" w:hAnsi="Times New Roman" w:eastAsia="Times New Roman"/>
          <w:sz w:val="24"/>
        </w:rPr>
        <w:t>., Mutsuura, K., &amp; Yamamoto, H. (2014). Impact of learner's characteristics and learning behaviour on learning performance during a fully online course. Electronic Journal of e-Learning, 12(4), 394–408.</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 xml:space="preserve">Tokiwa, E. (2025). Who excels in online learning in Japan? </w:t>
      </w:r>
      <w:r>
        <w:rPr>
          <w:rFonts w:ascii="Times New Roman" w:hAnsi="Times New Roman" w:eastAsia="Times New Roman"/>
          <w:i/>
          <w:sz w:val="24"/>
        </w:rPr>
        <w:t>Frontiers in Psychology, 16</w:t>
      </w:r>
      <w:r>
        <w:rPr>
          <w:rFonts w:ascii="Times New Roman" w:hAnsi="Times New Roman" w:eastAsia="Times New Roman"/>
          <w:sz w:val="24"/>
        </w:rPr>
        <w:t>, Article 1420996. https://doi.org/10.3389/fpsyg.2025.1420996</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Wu, R., &amp; Yu, Z. (2024). Relationship between university students' personalities and e-learning engagement mediated by achievement emotions and adaptability. </w:t>
      </w:r>
      <w:r>
        <w:rPr>
          <w:rFonts w:ascii="Times New Roman" w:hAnsi="Times New Roman" w:eastAsia="Times New Roman"/>
          <w:i/>
          <w:sz w:val="24"/>
        </w:rPr>
        <w:t>Education and Information Technologies, 29</w:t>
      </w:r>
      <w:r>
        <w:rPr>
          <w:rFonts w:ascii="Times New Roman" w:hAnsi="Times New Roman" w:eastAsia="Times New Roman"/>
          <w:sz w:val="24"/>
        </w:rPr>
        <w:t>, 10821–10850. https://doi.org/10.1007/s10639-023-12222-5</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[.048, .243]</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[−.167, .556]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[−.086, .265]</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[−.637, .715]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[−.115, .039]</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[−.136, .356]</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[−.054, .308]</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[−.862, .881]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[−.097, .080]</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[−.926, .954]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[.105, .298]</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[.111, .252]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[−.117, .178]</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[−.052, .242]</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[−.087, .122]</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[−.088, .093]</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[−.015, .148]</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[−.036, .281]</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[−.126, .040]</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[−.093, .130]</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JBI=5.78)</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JBI=5.80)</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