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25 primary studies retained for systematic synthesis (cataloguing 31 full-text records in Table 1, including 6 documented post-eligibility exclusions for PRISMA transparency) reporting Big Five personality and academic achievement in online, blended, or MOOC environments were synthesized.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or β-converted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(13 of 25 retained studies); NEO-family, IPIP, HEXACO, and TIPI/TIPI-J together contributed fewer than three studies each in the retained set. Within the primary achievement pool, Conscientiousness estimates were comparable across BFI-44 studies (</w:t>
      </w:r>
      <w:r>
        <w:rPr>
          <w:rFonts w:ascii="Times New Roman" w:hAnsi="Times New Roman" w:eastAsia="Times New Roman"/>
          <w:i/>
          <w:sz w:val="24"/>
        </w:rPr>
        <w:t>r</w:t>
      </w:r>
      <w:r>
        <w:rPr>
          <w:rFonts w:ascii="Times New Roman" w:hAnsi="Times New Roman" w:eastAsia="Times New Roman"/>
          <w:sz w:val="24"/>
        </w:rPr>
        <w:t xml:space="preserve"> range from .068 in Bahçekapılı &amp; Karaman, 2020 to .37 in Abe, 2020 paper-grade outcome),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(Yu, 2021 and Kaspar et al., 2023). Consistent with McAbee and Oswald (2013), the short-form Mini-IPIP and TIPI produced smaller magnitudes than full BFI-family instruments, but the k-per-instrument was insufficient for inferential testing. (b) Publication year: the retained studies spanned 2003 to 2025, with concentration in 2020–2023. A scatter-plot inspection of year vs. effect size (not reported) indicated no systematic trend. (c) Log-sample size: among the 10 studies in the primary quantitative pool, larger samples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Zheng &amp; Zheng, 2023 </w:t>
      </w:r>
      <w:r>
        <w:rPr>
          <w:rFonts w:ascii="Times New Roman" w:hAnsi="Times New Roman" w:eastAsia="Times New Roman"/>
          <w:i/>
          <w:sz w:val="24"/>
        </w:rPr>
        <w:t>N</w:t>
      </w:r>
      <w:r>
        <w:rPr>
          <w:rFonts w:ascii="Times New Roman" w:hAnsi="Times New Roman" w:eastAsia="Times New Roman"/>
          <w:sz w:val="24"/>
        </w:rPr>
        <w:t xml:space="preserve"> = 282; Rodrigues et al., 2024 </w:t>
      </w:r>
      <w:r>
        <w:rPr>
          <w:rFonts w:ascii="Times New Roman" w:hAnsi="Times New Roman" w:eastAsia="Times New Roman"/>
          <w:i/>
          <w:sz w:val="24"/>
        </w:rPr>
        <w:t>N</w:t>
      </w:r>
      <w:r>
        <w:rPr>
          <w:rFonts w:ascii="Times New Roman" w:hAnsi="Times New Roman" w:eastAsia="Times New Roman"/>
          <w:sz w:val="24"/>
        </w:rPr>
        <w:t xml:space="preserve"> = 260;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two smallest pool members (Abe, 2020 </w:t>
      </w:r>
      <w:r>
        <w:rPr>
          <w:rFonts w:ascii="Times New Roman" w:hAnsi="Times New Roman" w:eastAsia="Times New Roman"/>
          <w:i/>
          <w:sz w:val="24"/>
        </w:rPr>
        <w:t>N</w:t>
      </w:r>
      <w:r>
        <w:rPr>
          <w:rFonts w:ascii="Times New Roman" w:hAnsi="Times New Roman" w:eastAsia="Times New Roman"/>
          <w:sz w:val="24"/>
        </w:rPr>
        <w:t xml:space="preserve"> = 92; Elvers et al., 2003 online subset </w:t>
      </w:r>
      <w:r>
        <w:rPr>
          <w:rFonts w:ascii="Times New Roman" w:hAnsi="Times New Roman" w:eastAsia="Times New Roman"/>
          <w:i/>
          <w:sz w:val="24"/>
        </w:rPr>
        <w:t>N</w:t>
      </w:r>
      <w:r>
        <w:rPr>
          <w:rFonts w:ascii="Times New Roman" w:hAnsi="Times New Roman" w:eastAsia="Times New Roman"/>
          <w:sz w:val="24"/>
        </w:rPr>
        <w:t xml:space="preserve"> = 21;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among the 25 retained studies, only one was not-explicitly-online (A-13 Dang et al., 2025; general learning-engagement scale not online-specific) and one (A-02 Alkış &amp; Taşkaya Temizel, 2018) contributed both online (</w:t>
      </w:r>
      <w:r>
        <w:rPr>
          <w:rFonts w:ascii="Times New Roman" w:hAnsi="Times New Roman" w:eastAsia="Times New Roman"/>
          <w:i/>
          <w:sz w:val="24"/>
        </w:rPr>
        <w:t>N</w:t>
      </w:r>
      <w:r>
        <w:rPr>
          <w:rFonts w:ascii="Times New Roman" w:hAnsi="Times New Roman" w:eastAsia="Times New Roman"/>
          <w:sz w:val="24"/>
        </w:rPr>
        <w:t xml:space="preserve"> = 189) and blended (</w:t>
      </w:r>
      <w:r>
        <w:rPr>
          <w:rFonts w:ascii="Times New Roman" w:hAnsi="Times New Roman" w:eastAsia="Times New Roman"/>
          <w:i/>
          <w:sz w:val="24"/>
        </w:rPr>
        <w:t>N</w:t>
      </w:r>
      <w:r>
        <w:rPr>
          <w:rFonts w:ascii="Times New Roman" w:hAnsi="Times New Roman" w:eastAsia="Times New Roman"/>
          <w:sz w:val="24"/>
        </w:rPr>
        <w:t xml:space="preserve"> = 127) subsamples. A-28 Yu's MOOC context is itself a form of online learning. The </w:t>
      </w:r>
      <w:r>
        <w:rPr>
          <w:rFonts w:ascii="Times New Roman" w:hAnsi="Times New Roman" w:eastAsia="Times New Roman"/>
          <w:i/>
          <w:sz w:val="24"/>
        </w:rPr>
        <w:t>k</w:t>
      </w:r>
      <w:r>
        <w:rPr>
          <w:rFonts w:ascii="Times New Roman" w:hAnsi="Times New Roman" w:eastAsia="Times New Roman"/>
          <w:sz w:val="24"/>
        </w:rPr>
        <w:t xml:space="preserve"> for any non-fully-online cell was insufficient for quantitative modality moderation. (f) Education level: 2 K-12 studies were retained (A-25 Tokiwa, 2025; A-26 Wang et al., 2023), with an additional K-12 record (A-10 Boonyapison et al., 2025) excluded for face-to-face modality. Neither retained K-12 study contributed direct or β-converted </w:t>
      </w:r>
      <w:r>
        <w:rPr>
          <w:rFonts w:ascii="Times New Roman" w:hAnsi="Times New Roman" w:eastAsia="Times New Roman"/>
          <w:i/>
          <w:sz w:val="24"/>
        </w:rPr>
        <w:t>r</w:t>
      </w:r>
      <w:r>
        <w:rPr>
          <w:rFonts w:ascii="Times New Roman" w:hAnsi="Times New Roman" w:eastAsia="Times New Roman"/>
          <w:sz w:val="24"/>
        </w:rPr>
        <w:t xml:space="preserve"> to the primary quantitative achievement pool: A-25 reported test-completion outcomes without extractable achievement </w:t>
      </w:r>
      <w:r>
        <w:rPr>
          <w:rFonts w:ascii="Times New Roman" w:hAnsi="Times New Roman" w:eastAsia="Times New Roman"/>
          <w:i/>
          <w:sz w:val="24"/>
        </w:rPr>
        <w:t>r</w:t>
      </w:r>
      <w:r>
        <w:rPr>
          <w:rFonts w:ascii="Times New Roman" w:hAnsi="Times New Roman" w:eastAsia="Times New Roman"/>
          <w:sz w:val="24"/>
        </w:rPr>
        <w:t xml:space="preserve">, and A-26 reported only a </w:t>
      </w:r>
      <w:r>
        <w:rPr>
          <w:rFonts w:ascii="Times New Roman" w:hAnsi="Times New Roman" w:eastAsia="Times New Roman"/>
          <w:i/>
          <w:sz w:val="24"/>
        </w:rPr>
        <w:t>β</w:t>
      </w:r>
      <w:r>
        <w:rPr>
          <w:rFonts w:ascii="Times New Roman" w:hAnsi="Times New Roman" w:eastAsia="Times New Roman"/>
          <w:sz w:val="24"/>
        </w:rPr>
        <w:t xml:space="preserve"> path through engagement (no direct trait–achievement </w:t>
      </w:r>
      <w:r>
        <w:rPr>
          <w:rFonts w:ascii="Times New Roman" w:hAnsi="Times New Roman" w:eastAsia="Times New Roman"/>
          <w:i/>
          <w:sz w:val="24"/>
        </w:rPr>
        <w:t>r</w:t>
      </w:r>
      <w:r>
        <w:rPr>
          <w:rFonts w:ascii="Times New Roman" w:hAnsi="Times New Roman" w:eastAsia="Times New Roman"/>
          <w:sz w:val="24"/>
        </w:rPr>
        <w:t>). The K-12 contribution to the present synthesis is therefore narrative-only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catalogued in this review (Table 1). Of these 31 catalogued records, 25 were retained for qualitative synthesis (10 contributing direct or β-converted Pearson correlations to the primary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primary quantitative pool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(A-28 Yu, 2021 and A-30 Kaspar et al., 2023), and one was flagged as a conflict-of-interest study because it is the present author's own prior primary research (A-25 Tokiwa, 2025; Tokiwa is in the qualitative-synthesis retained set but did not contribute extractable </w:t>
      </w:r>
      <w:r>
        <w:rPr>
          <w:rFonts w:ascii="Times New Roman" w:hAnsi="Times New Roman" w:eastAsia="Times New Roman"/>
          <w:i/>
          <w:sz w:val="24"/>
        </w:rPr>
        <w:t>r</w:t>
      </w:r>
      <w:r>
        <w:rPr>
          <w:rFonts w:ascii="Times New Roman" w:hAnsi="Times New Roman" w:eastAsia="Times New Roman"/>
          <w:sz w:val="24"/>
        </w:rPr>
        <w:t xml:space="preserve"> values to the primary pool).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25 retained primary studies (and the 6 post-eligibility exclusions documented for transparency) are presented in Table 1. Publication years ranged from 2003 to 2025, with a marked acceleration in the COVID-19 era (2020–2022), during which roughly half of the retained studies were conducted. Analytic sample sizes (retained 25)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260. The 10 studies contributing direct or β-converted Pearson correlations to the primary achievement pool aggregated a total sample of 3,384 participants (</w:t>
      </w:r>
      <w:r>
        <w:rPr>
          <w:rFonts w:ascii="Times New Roman" w:hAnsi="Times New Roman" w:eastAsia="Times New Roman"/>
          <w:i/>
          <w:sz w:val="24"/>
        </w:rPr>
        <w:t>k</w:t>
      </w:r>
      <w:r>
        <w:rPr>
          <w:rFonts w:ascii="Times New Roman" w:hAnsi="Times New Roman" w:eastAsia="Times New Roman"/>
          <w:sz w:val="24"/>
        </w:rPr>
        <w:t xml:space="preserve"> = 10 for Conscientiousness and Neuroticism; </w:t>
      </w:r>
      <w:r>
        <w:rPr>
          <w:rFonts w:ascii="Times New Roman" w:hAnsi="Times New Roman" w:eastAsia="Times New Roman"/>
          <w:i/>
          <w:sz w:val="24"/>
        </w:rPr>
        <w:t>k</w:t>
      </w:r>
      <w:r>
        <w:rPr>
          <w:rFonts w:ascii="Times New Roman" w:hAnsi="Times New Roman" w:eastAsia="Times New Roman"/>
          <w:sz w:val="24"/>
        </w:rPr>
        <w:t xml:space="preserve"> = 9 for Openness, Extraversion, Agreeableness — A-15 Elvers reported only C and </w:t>
      </w:r>
      <w:r>
        <w:rPr>
          <w:rFonts w:ascii="Times New Roman" w:hAnsi="Times New Roman" w:eastAsia="Times New Roman"/>
          <w:i/>
          <w:sz w:val="24"/>
        </w:rPr>
        <w:t>N</w:t>
      </w:r>
      <w:r>
        <w:rPr>
          <w:rFonts w:ascii="Times New Roman" w:hAnsi="Times New Roman" w:eastAsia="Times New Roman"/>
          <w:sz w:val="24"/>
        </w:rPr>
        <w:t>).</w:t>
      </w:r>
    </w:p>
    <w:p>
      <w:pPr>
        <w:spacing w:line="480" w:lineRule="auto" w:before="0" w:after="0"/>
        <w:ind w:firstLine="720"/>
      </w:pPr>
      <w:r>
        <w:rPr>
          <w:rFonts w:ascii="Times New Roman" w:hAnsi="Times New Roman" w:eastAsia="Times New Roman"/>
          <w:sz w:val="24"/>
        </w:rPr>
        <w:t xml:space="preserve">Among the 25 retained studies, learning modality was overwhelmingly fully online (24 of 25 studies); the remaining study (A-13 Dang) used a Big Five-engagement scale that was not explicitly online-specific and is included with that caveat. The asynchronous/synchronous distinction was explicitly reported for a minority of records. Education levels comprised K-12 (2 studies: A-25 Tokiwa, A-26 Wang), undergraduate (15 studies), mixed undergraduate/graduate (5 studies: A-08, A-18, A-20, A-28, A-30), graduate only (2 studies: A-07 Cohen &amp; Baruth, 2017; A-37 Zheng &amp; Zheng, 2023), and mixed secondary/post-secondary (1 study: A-11 Cheng et al., 2023). Regional distribution, important for the pre-registered Asian-amplification moderator analysis, was Asia (12 studies; includes East Asian and Middle Eastern samples), Europe (7 studies), and North America (6 studies); within the primary quantitative pool the Asian subset is reduced to </w:t>
      </w:r>
      <w:r>
        <w:rPr>
          <w:rFonts w:ascii="Times New Roman" w:hAnsi="Times New Roman" w:eastAsia="Times New Roman"/>
          <w:i/>
          <w:sz w:val="24"/>
        </w:rPr>
        <w:t>k</w:t>
      </w:r>
      <w:r>
        <w:rPr>
          <w:rFonts w:ascii="Times New Roman" w:hAnsi="Times New Roman" w:eastAsia="Times New Roman"/>
          <w:sz w:val="24"/>
        </w:rPr>
        <w:t xml:space="preserve"> = 2. Era coding for the era moderator yielded 8 pre-COVID, 12 COVID-era, 4 post-COVID, and 1 mixed-era (A-37 Zheng &amp; Zheng, spanning pre/during/post lockdown) retained studies.</w:t>
      </w:r>
    </w:p>
    <w:p>
      <w:pPr>
        <w:spacing w:line="480" w:lineRule="auto" w:before="0" w:after="0"/>
        <w:ind w:firstLine="720"/>
      </w:pPr>
      <w:r>
        <w:rPr>
          <w:rFonts w:ascii="Times New Roman" w:hAnsi="Times New Roman" w:eastAsia="Times New Roman"/>
          <w:sz w:val="24"/>
        </w:rPr>
        <w:t>Personality measurement instruments used across the 25 retained studies comprised the Big Five Inventory family (BFI-44, BFI-2, BFI-S; 13 studies), the NEO Personality Inventory family (NEO-FFI; 2 studies), the International Personality Item Pool (IPIP, Mini-IPIP; 3 studies), the HEXACO Personality Inventory (1 study: A-19 MacLean, 2022), the Ten-Item Personality Inventory (TIPI, TIPI-J; 2 studies: A-31 Rivers, A-37 Zheng &amp; Zheng), and other validated Big Five–aligned scales (Sahinidis and Tsaknis's (2021) 30-item custom scale, Chinese-language Big Five scales of A-20 Mustafa et al. (2022) and A-26 Wang et al. (2023), and McCrae's 40-item scale used in A-28 Yu; 4 studies in total). Achievement outcomes in the 10-study primary pool were operationalized as GPA or course grade (6 studies: A-02 Alkis, A-23 Rodrigues, A-29 Bahçekapılı, A-31 Rivers, A-37 Zheng &amp; Zheng, plus the paper-grade subscale of A-01 Abe), standardized exam (1 study: A-15 Elvers Intro-Psych exam), MOOC platform composite (1 study: A-28 Yu), and self-rated performance (2 studies: A-22 Quigley OSES subscale; A-30 Kaspar self-rated performance composite). Secondary outcomes — satisfaction, engagement, preference, or perception — were the only available outcome in the remaining 15 retained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25 retained studies was 5.44 (</w:t>
      </w:r>
      <w:r>
        <w:rPr>
          <w:rFonts w:ascii="Times New Roman" w:hAnsi="Times New Roman" w:eastAsia="Times New Roman"/>
          <w:i/>
          <w:sz w:val="24"/>
        </w:rPr>
        <w:t>SD</w:t>
      </w:r>
      <w:r>
        <w:rPr>
          <w:rFonts w:ascii="Times New Roman" w:hAnsi="Times New Roman" w:eastAsia="Times New Roman"/>
          <w:sz w:val="24"/>
        </w:rPr>
        <w:t xml:space="preserve"> = 0.87, range = 4–7). Twenty-one studies scored at or above the pre-specified low-bias threshold of 5, while four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Within the primary pool the largest Agreeableness contribution came from a single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confirmed Yu as the most influential study for the Agreeableness estimate (removal shifts </w:t>
      </w:r>
      <w:r>
        <w:rPr>
          <w:rFonts w:ascii="Times New Roman" w:hAnsi="Times New Roman" w:eastAsia="Times New Roman"/>
          <w:i/>
          <w:sz w:val="24"/>
        </w:rPr>
        <w:t>r</w:t>
      </w:r>
      <w:r>
        <w:rPr>
          <w:rFonts w:ascii="Times New Roman" w:hAnsi="Times New Roman" w:eastAsia="Times New Roman"/>
          <w:sz w:val="24"/>
        </w:rPr>
        <w:t xml:space="preserve"> from .112 to .038).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and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provide narrative support for Agreeableness amplification in East Asian and Israeli samples respectively, but neither contributed direct correlations to the primary pool.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Within the 10-study primary Neuroticism pool, signs were mixed: Rodrigues et al. (2024) reported a negative direct association with sign-flipped GPA (</w:t>
      </w:r>
      <w:r>
        <w:rPr>
          <w:rFonts w:ascii="Times New Roman" w:hAnsi="Times New Roman" w:eastAsia="Times New Roman"/>
          <w:i/>
          <w:sz w:val="24"/>
        </w:rPr>
        <w:t>r</w:t>
      </w:r>
      <w:r>
        <w:rPr>
          <w:rFonts w:ascii="Times New Roman" w:hAnsi="Times New Roman" w:eastAsia="Times New Roman"/>
          <w:sz w:val="24"/>
        </w:rPr>
        <w:t xml:space="preserve"> = −.142), and Bahçekapılı and Karaman (2020) likewise reported a negative direct </w:t>
      </w:r>
      <w:r>
        <w:rPr>
          <w:rFonts w:ascii="Times New Roman" w:hAnsi="Times New Roman" w:eastAsia="Times New Roman"/>
          <w:i/>
          <w:sz w:val="24"/>
        </w:rPr>
        <w:t>r</w:t>
      </w:r>
      <w:r>
        <w:rPr>
          <w:rFonts w:ascii="Times New Roman" w:hAnsi="Times New Roman" w:eastAsia="Times New Roman"/>
          <w:sz w:val="24"/>
        </w:rPr>
        <w:t xml:space="preserve"> (−.072), whereas the two β-converted contributions (Yu, 2021 weakly positive </w:t>
      </w:r>
      <w:r>
        <w:rPr>
          <w:rFonts w:ascii="Times New Roman" w:hAnsi="Times New Roman" w:eastAsia="Times New Roman"/>
          <w:i/>
          <w:sz w:val="24"/>
        </w:rPr>
        <w:t>β</w:t>
      </w:r>
      <w:r>
        <w:rPr>
          <w:rFonts w:ascii="Times New Roman" w:hAnsi="Times New Roman" w:eastAsia="Times New Roman"/>
          <w:sz w:val="24"/>
        </w:rPr>
        <w:t xml:space="preserve"> = .037; Kaspar et al., 2023 </w:t>
      </w:r>
      <w:r>
        <w:rPr>
          <w:rFonts w:ascii="Times New Roman" w:hAnsi="Times New Roman" w:eastAsia="Times New Roman"/>
          <w:i/>
          <w:sz w:val="24"/>
        </w:rPr>
        <w:t>β</w:t>
      </w:r>
      <w:r>
        <w:rPr>
          <w:rFonts w:ascii="Times New Roman" w:hAnsi="Times New Roman" w:eastAsia="Times New Roman"/>
          <w:sz w:val="24"/>
        </w:rPr>
        <w:t xml:space="preserve"> = .20 driven by a suppressor effect of covariates) pulled the pooled estimate toward zero. Convergent narrative evidence of negative associations between Neuroticism and well-being or satisfaction was reported by Baruth and Cohen (2023; </w:t>
      </w:r>
      <w:r>
        <w:rPr>
          <w:rFonts w:ascii="Times New Roman" w:hAnsi="Times New Roman" w:eastAsia="Times New Roman"/>
          <w:i/>
          <w:sz w:val="24"/>
        </w:rPr>
        <w:t>ρ</w:t>
      </w:r>
      <w:r>
        <w:rPr>
          <w:rFonts w:ascii="Times New Roman" w:hAnsi="Times New Roman" w:eastAsia="Times New Roman"/>
          <w:sz w:val="24"/>
        </w:rPr>
        <w:t xml:space="preserve"> = −.542 with general satisfaction; secondary-outcome study, not in the primary pool).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could not be isolated as a moderator subgroup because no explicitly post-COVID study contributed direct or β-converted Pearson correlations to the primary quantitative pool (the 4 post-COVID studies in the qualitative-synthesis retained set — A-13 Dang et al., 2025; A-17 Kara, 2024; A-25 Tokiwa, 2025; A-26 Wang et al., 2023 — are described narratively only).</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single most influential study for both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.038, |Δr| = .074) and the Extraversion pool (removal shifted </w:t>
      </w:r>
      <w:r>
        <w:rPr>
          <w:rFonts w:ascii="Times New Roman" w:hAnsi="Times New Roman" w:eastAsia="Times New Roman"/>
          <w:i/>
          <w:sz w:val="24"/>
        </w:rPr>
        <w:t>r</w:t>
      </w:r>
      <w:r>
        <w:rPr>
          <w:rFonts w:ascii="Times New Roman" w:hAnsi="Times New Roman" w:eastAsia="Times New Roman"/>
          <w:sz w:val="24"/>
        </w:rPr>
        <w:t xml:space="preserve"> from .002 to .031, |Δr| = .028), reflecting Yu's MOOC composite as the largest β-converted objective-outcome contribution in the synthesis. No other study produced |Δr| &gt; .05 on any trait.</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5.8),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catalogued primary studies — 25 retained for qualitative synthesis, of which 10 contributed direct or β-converted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primarily by a single influential Chinese MOOC sample (Yu, 2021) within the primary pool, with convergent narrative evidence from East Asian (Wang et al., 2023) and Israeli (Baruth &amp; Cohen, 2023) secondary-outcome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Within the 9-study primary Agreeableness pool, the pooled estimate is driven principally by a single influential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confirms that removing Yu drops the pooled </w:t>
      </w:r>
      <w:r>
        <w:rPr>
          <w:rFonts w:ascii="Times New Roman" w:hAnsi="Times New Roman" w:eastAsia="Times New Roman"/>
          <w:i/>
          <w:sz w:val="24"/>
        </w:rPr>
        <w:t>r</w:t>
      </w:r>
      <w:r>
        <w:rPr>
          <w:rFonts w:ascii="Times New Roman" w:hAnsi="Times New Roman" w:eastAsia="Times New Roman"/>
          <w:sz w:val="24"/>
        </w:rPr>
        <w:t xml:space="preserve"> from .112 to .038. Convergent narrative evidence for Agreeableness amplification in East Asian online learners is provided by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K-12 sample retained for qualitative synthesis but not in the primary pool) and in Israeli samples by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retained as a secondary-outcome study, not in the primary pool). These directional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The first component of H4 — an overall negative pooled effect — is not supported by the primary analysis. The second component of H4 — a more pronounced negative effect in fully online than in blended modalities — could not be evaluated quantitatively because only one study (A-02 Alkış &amp; Taşkaya Temizel, 2018) contributed a separately extractable blended subsample, precluding a fully-online-vs-blended modality contrast.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providing partial directional support for the H4 sign prediction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overall effect. The overall H5 prediction is therefore supported. The proposed facet-level cancellation mechanism (sociability negative vs. assertiveness positive) could not be directly tested because few primary studies report Extraversion at the facet level, and a quantitative facet-level synthesis was not feasible (see Limitations). Moreover, two moderator analyses revealed systematic contextual conditions under which Extraversion shifts in the negative direction at the trait level: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 Whether these contextual shifts reflect the H5 facet-cancellation mechanism (e.g., assertiveness facets activated more strongly in individualistic vs. collectivistic contexts) or a separate trait-level mechanism remains an open question for facet-level primary research.</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could not be evaluated quantitatively because no post-COVID study contributed correlations to the primary pool (</w:t>
      </w:r>
      <w:r>
        <w:rPr>
          <w:rFonts w:ascii="Times New Roman" w:hAnsi="Times New Roman" w:eastAsia="Times New Roman"/>
          <w:i/>
          <w:sz w:val="24"/>
        </w:rPr>
        <w:t>k</w:t>
      </w:r>
      <w:r>
        <w:rPr>
          <w:rFonts w:ascii="Times New Roman" w:hAnsi="Times New Roman" w:eastAsia="Times New Roman"/>
          <w:sz w:val="24"/>
        </w:rPr>
        <w:t xml:space="preserve"> = 0 in the moderator analysis, with 4 post-COVID studies retained for qualitative synthesis only);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qualitative-synthesis retained set as a potentially eligible record. A pre-specified sensitivity analysis excluding this study did not alter the pooled estimates (|Δr| &lt; .001 for every trait) because Tokiwa (2025) did not contribute extractable zero-order correlations to the primary quantitative pool; both the primary and sensitivity results are reported transparently in Table 4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primarily by a single Chinese MOOC sample (Yu, 2021) with convergent narrative evidence from other East Asian and Israeli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Ashouri, A., Taheri, </w:t>
      </w:r>
      <w:r>
        <w:rPr>
          <w:rFonts w:ascii="Times New Roman" w:hAnsi="Times New Roman" w:eastAsia="Times New Roman"/>
          <w:i/>
          <w:sz w:val="24"/>
        </w:rPr>
        <w:t>M</w:t>
      </w:r>
      <w:r>
        <w:rPr>
          <w:rFonts w:ascii="Times New Roman" w:hAnsi="Times New Roman" w:eastAsia="Times New Roman"/>
          <w:sz w:val="24"/>
        </w:rPr>
        <w:t xml:space="preserve">., Rasouli, </w:t>
      </w:r>
      <w:r>
        <w:rPr>
          <w:rFonts w:ascii="Times New Roman" w:hAnsi="Times New Roman" w:eastAsia="Times New Roman"/>
          <w:i/>
          <w:sz w:val="24"/>
        </w:rPr>
        <w:t>M</w:t>
      </w:r>
      <w:r>
        <w:rPr>
          <w:rFonts w:ascii="Times New Roman" w:hAnsi="Times New Roman" w:eastAsia="Times New Roman"/>
          <w:sz w:val="24"/>
        </w:rPr>
        <w:t>., &amp; Rouhalamin, S. (2025). Personality traits and e-learning course satisfaction: A study of health science students. Cureus, 17(7), e89131.</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Bhagat, K. K., Wu, L. Y., &amp; Chang, C. Y. (2019). The impact of personality on students' perceptions towards online learning. </w:t>
      </w:r>
      <w:r>
        <w:rPr>
          <w:rFonts w:ascii="Times New Roman" w:hAnsi="Times New Roman" w:eastAsia="Times New Roman"/>
          <w:i/>
          <w:sz w:val="24"/>
        </w:rPr>
        <w:t>Australasian Journal of Educational Technology, 35</w:t>
      </w:r>
      <w:r>
        <w:rPr>
          <w:rFonts w:ascii="Times New Roman" w:hAnsi="Times New Roman" w:eastAsia="Times New Roman"/>
          <w:sz w:val="24"/>
        </w:rPr>
        <w:t>(4), 98–108. https://doi.org/10.14742/ajet.4162</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Dang, T., Du, W., Niu, </w:t>
      </w:r>
      <w:r>
        <w:rPr>
          <w:rFonts w:ascii="Times New Roman" w:hAnsi="Times New Roman" w:eastAsia="Times New Roman"/>
          <w:i/>
          <w:sz w:val="24"/>
        </w:rPr>
        <w:t>M</w:t>
      </w:r>
      <w:r>
        <w:rPr>
          <w:rFonts w:ascii="Times New Roman" w:hAnsi="Times New Roman" w:eastAsia="Times New Roman"/>
          <w:sz w:val="24"/>
        </w:rPr>
        <w:t>., &amp; Xu, Z. (2025). The effects of personality traits on learning engagement among college students: The mediating role of emotion regulation. Frontiers in Psychology, 15, 1476437. https://doi.org/10.3389/fpsyg.2024.1476437</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Kara, A., Ergulec, </w:t>
      </w:r>
      <w:r>
        <w:rPr>
          <w:rFonts w:ascii="Times New Roman" w:hAnsi="Times New Roman" w:eastAsia="Times New Roman"/>
          <w:i/>
          <w:sz w:val="24"/>
        </w:rPr>
        <w:t>F</w:t>
      </w:r>
      <w:r>
        <w:rPr>
          <w:rFonts w:ascii="Times New Roman" w:hAnsi="Times New Roman" w:eastAsia="Times New Roman"/>
          <w:sz w:val="24"/>
        </w:rPr>
        <w:t>., &amp; Eren, E. (2024). The mediating role of self-regulated online learning behaviors: Exploring the impact of personality traits on student engagement. Education and Information Technologies, 29, 23517–23546. https://doi.org/10.1007/s10639-024-12755-3</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Keller, H., &amp; Karau, S. J. (2013). The importance of personality in students' perceptions of the online learning experience. </w:t>
      </w:r>
      <w:r>
        <w:rPr>
          <w:rFonts w:ascii="Times New Roman" w:hAnsi="Times New Roman" w:eastAsia="Times New Roman"/>
          <w:i/>
          <w:sz w:val="24"/>
        </w:rPr>
        <w:t>Computers in Human Behavior, 29</w:t>
      </w:r>
      <w:r>
        <w:rPr>
          <w:rFonts w:ascii="Times New Roman" w:hAnsi="Times New Roman" w:eastAsia="Times New Roman"/>
          <w:sz w:val="24"/>
        </w:rPr>
        <w:t>(6), 2494–2500. https://doi.org/10.1016/j.chb.2013.06.007</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Nakayama, </w:t>
      </w:r>
      <w:r>
        <w:rPr>
          <w:rFonts w:ascii="Times New Roman" w:hAnsi="Times New Roman" w:eastAsia="Times New Roman"/>
          <w:i/>
          <w:sz w:val="24"/>
        </w:rPr>
        <w:t>M</w:t>
      </w:r>
      <w:r>
        <w:rPr>
          <w:rFonts w:ascii="Times New Roman" w:hAnsi="Times New Roman" w:eastAsia="Times New Roman"/>
          <w:sz w:val="24"/>
        </w:rPr>
        <w:t>., Mutsuura, K., &amp; Yamamoto, H. (2014). Impact of learner's characteristics and learning behaviour on learning performance during a fully online course. Electronic Journal of e-Learning, 12(4), 394–408.</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 xml:space="preserve">Tokiwa, E. (2025). Who excels in online learning in Japan? </w:t>
      </w:r>
      <w:r>
        <w:rPr>
          <w:rFonts w:ascii="Times New Roman" w:hAnsi="Times New Roman" w:eastAsia="Times New Roman"/>
          <w:i/>
          <w:sz w:val="24"/>
        </w:rPr>
        <w:t>Frontiers in Psychology, 16</w:t>
      </w:r>
      <w:r>
        <w:rPr>
          <w:rFonts w:ascii="Times New Roman" w:hAnsi="Times New Roman" w:eastAsia="Times New Roman"/>
          <w:sz w:val="24"/>
        </w:rPr>
        <w:t>, Article 1420996. https://doi.org/10.3389/fpsyg.2025.1420996</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Wu, R., &amp; Yu, Z. (2024). Relationship between university students' personalities and e-learning engagement mediated by achievement emotions and adaptability. </w:t>
      </w:r>
      <w:r>
        <w:rPr>
          <w:rFonts w:ascii="Times New Roman" w:hAnsi="Times New Roman" w:eastAsia="Times New Roman"/>
          <w:i/>
          <w:sz w:val="24"/>
        </w:rPr>
        <w:t>Education and Information Technologies, 29</w:t>
      </w:r>
      <w:r>
        <w:rPr>
          <w:rFonts w:ascii="Times New Roman" w:hAnsi="Times New Roman" w:eastAsia="Times New Roman"/>
          <w:sz w:val="24"/>
        </w:rPr>
        <w:t>, 10821–10850. https://doi.org/10.1007/s10639-023-12222-5</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