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r>
        <w:rPr>
          <w:rFonts w:ascii="Helvetica Neue" w:hAnsi="Helvetica Neue" w:eastAsia="Helvetica Neue"/>
          <w:color w:val="000000"/>
          <w:sz w:val="14"/>
        </w:rPr>
        <w:t>Date of publication xxxx 00, 0000, date of current version xxxx 00, 0000.</w:t>
      </w:r>
    </w:p>
    <w:p>
      <w:pPr>
        <w:spacing w:line="240" w:lineRule="auto" w:before="0" w:after="160"/>
      </w:pPr>
      <w:r>
        <w:rPr>
          <w:rFonts w:ascii="Times New Roman" w:hAnsi="Times New Roman" w:eastAsia="Times New Roman"/>
          <w:color w:val="000000"/>
          <w:sz w:val="12"/>
        </w:rPr>
        <w:t>Digital Object Identifier 10.1109/ACCESS.20XX.Doi Number</w:t>
      </w:r>
    </w:p>
    <w:p>
      <w:pPr>
        <w:spacing w:line="240" w:lineRule="auto" w:before="0" w:after="200"/>
        <w:jc w:val="left"/>
      </w:pPr>
      <w:r>
        <w:rPr>
          <w:rFonts w:ascii="Helvetica Neue" w:hAnsi="Helvetica Neue" w:eastAsia="Helvetica Neue"/>
          <w:b/>
          <w:color w:val="00629B"/>
          <w:sz w:val="44"/>
        </w:rPr>
        <w:t>Person-Level versus System-Level Anti-Harassment Interventions: A HEXACO 7-Typology Counterfactual Microsimulation in Japanese Workplaces</w:t>
      </w:r>
    </w:p>
    <w:p>
      <w:pPr>
        <w:spacing w:line="240" w:lineRule="auto" w:before="0" w:after="40"/>
        <w:jc w:val="left"/>
      </w:pPr>
      <w:r>
        <w:rPr>
          <w:rFonts w:ascii="Helvetica Neue" w:hAnsi="Helvetica Neue" w:eastAsia="Helvetica Neue"/>
          <w:b/>
          <w:color w:val="000000"/>
          <w:sz w:val="20"/>
        </w:rPr>
        <w:t>E. Tokiwa</w:t>
      </w:r>
      <w:r>
        <w:rPr>
          <w:rFonts w:ascii="Helvetica Neue" w:hAnsi="Helvetica Neue" w:eastAsia="Helvetica Neue"/>
          <w:b/>
          <w:color w:val="000000"/>
          <w:sz w:val="14"/>
          <w:vertAlign w:val="superscript"/>
        </w:rPr>
        <w:t>1</w:t>
      </w:r>
    </w:p>
    <w:p>
      <w:pPr>
        <w:spacing w:line="240" w:lineRule="auto" w:before="0" w:after="40"/>
      </w:pPr>
      <w:r>
        <w:rPr>
          <w:rFonts w:ascii="Times New Roman" w:hAnsi="Times New Roman" w:eastAsia="Times New Roman"/>
          <w:color w:val="000000"/>
          <w:sz w:val="14"/>
          <w:vertAlign w:val="superscript"/>
        </w:rPr>
        <w:t>1</w:t>
      </w:r>
      <w:r>
        <w:rPr>
          <w:rFonts w:ascii="Times New Roman" w:hAnsi="Times New Roman" w:eastAsia="Times New Roman"/>
          <w:color w:val="000000"/>
          <w:sz w:val="14"/>
        </w:rPr>
        <w:t>SUNBLAZE Co., Ltd., Nishi-Shinjuku 3-3-13, Shinjuku-ku, Tokyo 160-0023, Japan</w:t>
      </w:r>
    </w:p>
    <w:p>
      <w:pPr>
        <w:spacing w:line="240" w:lineRule="auto" w:before="0" w:after="40"/>
      </w:pPr>
      <w:r>
        <w:rPr>
          <w:rFonts w:ascii="Times New Roman" w:hAnsi="Times New Roman" w:eastAsia="Times New Roman"/>
          <w:color w:val="000000"/>
          <w:sz w:val="15"/>
        </w:rPr>
        <w:t>Corresponding author: E. Tokiwa (e-mail: eisuke.tokiwa@sunblaze.jp).</w:t>
      </w:r>
    </w:p>
    <w:p>
      <w:pPr>
        <w:spacing w:line="240" w:lineRule="auto" w:before="0" w:after="40"/>
        <w:jc w:val="both"/>
      </w:pPr>
      <w:r>
        <w:rPr>
          <w:rFonts w:ascii="Times New Roman" w:hAnsi="Times New Roman" w:eastAsia="Times New Roman"/>
          <w:color w:val="000000"/>
          <w:sz w:val="16"/>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w:t>
      </w:r>
    </w:p>
    <w:p>
      <w:pPr>
        <w:spacing w:line="240" w:lineRule="auto" w:before="0" w:after="200"/>
        <w:jc w:val="left"/>
      </w:pPr>
      <w:r>
        <w:rPr>
          <w:rFonts w:ascii="Times New Roman" w:hAnsi="Times New Roman" w:eastAsia="Times New Roman"/>
          <w:sz w:val="14"/>
        </w:rPr>
        <w:t>© 2026 The Authors. This work is licensed under a Creative Commons Attribution 4.0 License. For more information, see https://creativecommons.org/licenses/by/4.0/. VOLUME XX, 2026</w:t>
      </w:r>
    </w:p>
    <w:p>
      <w:pPr>
        <w:spacing w:line="240" w:lineRule="auto" w:before="0" w:after="80"/>
        <w:jc w:val="both"/>
      </w:pPr>
      <w:r>
        <w:rPr>
          <w:rFonts w:ascii="Helvetica Neue" w:hAnsi="Helvetica Neue" w:eastAsia="Helvetica Neue"/>
          <w:b/>
          <w:color w:val="00629B"/>
          <w:sz w:val="20"/>
        </w:rPr>
        <w:t>ABSTRACT</w:t>
      </w:r>
      <w:r>
        <w:rPr>
          <w:rFonts w:ascii="Times New Roman" w:hAnsi="Times New Roman" w:eastAsia="Times New Roman"/>
          <w:color w:val="000000"/>
          <w:sz w:val="20"/>
        </w:rPr>
        <w:t xml:space="preserve"> 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240" w:lineRule="auto" w:before="0" w:after="200"/>
        <w:jc w:val="both"/>
      </w:pPr>
      <w:r>
        <w:rPr>
          <w:rFonts w:ascii="Helvetica Neue" w:hAnsi="Helvetica Neue" w:eastAsia="Helvetica Neue"/>
          <w:b/>
          <w:color w:val="00629B"/>
          <w:sz w:val="20"/>
        </w:rPr>
        <w:t>INDEX TERMS</w:t>
      </w:r>
      <w:r>
        <w:rPr>
          <w:rFonts w:ascii="Times New Roman" w:hAnsi="Times New Roman" w:eastAsia="Times New Roman"/>
          <w:color w:val="000000"/>
          <w:sz w:val="20"/>
        </w:rPr>
        <w:t xml:space="preserve"> Bootstrap, counterfactual analysis, HEXACO model, intersection-union test, microsimulation, target trial emulation, workplace harassment.</w:t>
      </w:r>
    </w:p>
    <w:p>
      <w:pPr>
        <w:sectPr>
          <w:type w:val="continuous"/>
          <w:pgSz w:w="11520" w:h="15660"/>
          <w:pgMar w:top="1280" w:bottom="1040" w:left="740" w:right="740"/>
          <w:cols w:num="1"/>
        </w:sectPr>
      </w:pPr>
    </w:p>
    <w:p>
      <w:pPr>
        <w:spacing w:line="240" w:lineRule="auto" w:before="160" w:after="80"/>
        <w:jc w:val="left"/>
      </w:pPr>
      <w:r>
        <w:rPr>
          <w:rFonts w:ascii="Helvetica Neue" w:hAnsi="Helvetica Neue" w:eastAsia="Helvetica Neue"/>
          <w:b/>
          <w:color w:val="00629B"/>
          <w:sz w:val="18"/>
        </w:rPr>
        <w:t>I. INTRODUCTION</w:t>
      </w:r>
    </w:p>
    <w:p>
      <w:pPr>
        <w:spacing w:line="240" w:lineRule="auto" w:before="0" w:after="0"/>
        <w:ind w:firstLine="180"/>
        <w:jc w:val="both"/>
      </w:pPr>
      <w:r>
        <w:rPr>
          <w:rFonts w:ascii="Times New Roman" w:hAnsi="Times New Roman" w:eastAsia="Times New Roman"/>
          <w:sz w:val="20"/>
        </w:rPr>
        <w:t>Workplace harassment imposes substantial mental-health and labor-supply costs in industrialized economies, and Japan is a particularly informative setting because the Ministry of Health, Labour and Welfare (MHLW) has documented a 13.2-percentage-point decline in past-three-year power-harassment victimization (32.5% in FY2016 → 19.3% in FY2023) over the period spanning enforcement of the 2020 Power Harassment Prevention Law [1]. This temporal pattern raises a fundamental question for occupational psychology: when both individual personality traits and organizational structures predict harassment exposure, which side of the person–environment ledger contributes more to population-level prevalence change?</w:t>
      </w:r>
    </w:p>
    <w:p>
      <w:pPr>
        <w:spacing w:line="240" w:lineRule="auto" w:before="0" w:after="0"/>
        <w:ind w:firstLine="180"/>
        <w:jc w:val="both"/>
      </w:pPr>
      <w:r>
        <w:rPr>
          <w:rFonts w:ascii="Times New Roman" w:hAnsi="Times New Roman" w:eastAsia="Times New Roman"/>
          <w:sz w:val="20"/>
        </w:rPr>
        <w:t>The present study addresses this question with a pre-registered counterfactual microsimulation that emulates a target trial of three interventions — two acting on personality (HEXACO Honesty-Humility, Agreeableness, Emotionality) and one acting on cell-level structural propensity. Under prior meta-analytic effect-size calibrations for each intervention type, the analysis classifies the configuration as REVERSAL: the structural-intervention contrast is approximately five-fold larger in absolute magnitude than the personality-intervention contrast.</w:t>
      </w:r>
    </w:p>
    <w:p>
      <w:pPr>
        <w:spacing w:line="240" w:lineRule="auto" w:before="0" w:after="0"/>
        <w:ind w:firstLine="180"/>
        <w:jc w:val="both"/>
      </w:pPr>
      <w:r>
        <w:rPr>
          <w:rFonts w:ascii="Times New Roman" w:hAnsi="Times New Roman" w:eastAsia="Times New Roman"/>
          <w:sz w:val="20"/>
        </w:rPr>
        <w:t>The remainder of this paper unfolds as follows. Section II reviews the relevant background — the public-health framing of workplace harassment in Japan, the HEXACO 7-typology and its prior connection to harassment, microsimulation as a methodological bridge, the seven pre-registered hypotheses, and the study's contribution. Section III details the methods. Section IV reports the results. Section V discusses limitations and implications. Section VI concludes.</w:t>
      </w:r>
    </w:p>
    <w:p>
      <w:pPr>
        <w:spacing w:line="240" w:lineRule="auto" w:before="160" w:after="80"/>
        <w:jc w:val="left"/>
      </w:pPr>
      <w:r>
        <w:rPr>
          <w:rFonts w:ascii="Helvetica Neue" w:hAnsi="Helvetica Neue" w:eastAsia="Helvetica Neue"/>
          <w:b/>
          <w:color w:val="00629B"/>
          <w:sz w:val="18"/>
        </w:rPr>
        <w:t>II. BACKGROUND AND HISTORY</w:t>
      </w:r>
    </w:p>
    <w:p>
      <w:pPr>
        <w:spacing w:line="240" w:lineRule="auto" w:before="80" w:after="40"/>
      </w:pPr>
      <w:r>
        <w:rPr>
          <w:rFonts w:ascii="Times New Roman" w:hAnsi="Times New Roman" w:eastAsia="Times New Roman"/>
          <w:b/>
          <w:color w:val="000000"/>
          <w:sz w:val="20"/>
        </w:rPr>
        <w:t>A. Workplace harassment as a public-health and policy problem</w:t>
      </w:r>
    </w:p>
    <w:p>
      <w:pPr>
        <w:spacing w:line="240" w:lineRule="auto" w:before="0" w:after="0"/>
        <w:ind w:firstLine="180"/>
        <w:jc w:val="both"/>
      </w:pPr>
      <w:r>
        <w:rPr>
          <w:rFonts w:ascii="Times New Roman" w:hAnsi="Times New Roman" w:eastAsia="Times New Roman"/>
          <w:sz w:val="20"/>
        </w:rPr>
        <w:t>Workplace harassment has been associated with elevated risk of psychiatric morbidity, voluntary turnover, and reduced labor productivity in industrialized economies [2], [3]. In Japan, the Ministry of Health, Labour and Welfare (MHLW) has documented past-three-year power-harassment victimization rates of 32.5% in FY2016, 31.4% in FY2020, and 19.3% in FY2023 [1].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240" w:lineRule="auto" w:before="0" w:after="0"/>
        <w:ind w:firstLine="180"/>
        <w:jc w:val="both"/>
      </w:pPr>
      <w:r>
        <w:rPr>
          <w:rFonts w:ascii="Times New Roman" w:hAnsi="Times New Roman" w:eastAsia="Times New Roman"/>
          <w:sz w:val="20"/>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[4], [5]. The former framing treats harassment as primarily driven by individual disposition; the latter treats it as primarily driven by environmental affordance. Despite extensive research linking personality traits to bullying and harassment [6], [7], the relative population-level magnitude of plausible person-level and system-level intervention contrasts has not been quantitatively compared in a counterfactually formal framework calibrated against prior meta-analytic effect sizes.</w:t>
      </w:r>
    </w:p>
    <w:p>
      <w:pPr>
        <w:spacing w:line="240" w:lineRule="auto" w:before="80" w:after="40"/>
      </w:pPr>
      <w:r>
        <w:rPr>
          <w:rFonts w:ascii="Times New Roman" w:hAnsi="Times New Roman" w:eastAsia="Times New Roman"/>
          <w:b/>
          <w:color w:val="000000"/>
          <w:sz w:val="20"/>
        </w:rPr>
        <w:t>B. HEXACO 7-typology and its prior connection to workplace harassment</w:t>
      </w:r>
    </w:p>
    <w:p>
      <w:pPr>
        <w:spacing w:line="240" w:lineRule="auto" w:before="0" w:after="0"/>
        <w:ind w:firstLine="180"/>
        <w:jc w:val="both"/>
      </w:pPr>
      <w:r>
        <w:rPr>
          <w:rFonts w:ascii="Times New Roman" w:hAnsi="Times New Roman" w:eastAsia="Times New Roman"/>
          <w:sz w:val="20"/>
        </w:rPr>
        <w:t>The HEXACO model of personality [8]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[6], [9], [10], [11]. However, the magnitude of these associations is generally modest [6] (uncorrected r typically in the range 0.10–0.30), and recent meta-analyses suggest considerable cross-cultural heterogeneity in workplace bullying acceptability and effect sizes [6], [12].</w:t>
      </w:r>
    </w:p>
    <w:p>
      <w:pPr>
        <w:spacing w:line="240" w:lineRule="auto" w:before="0" w:after="0"/>
        <w:ind w:firstLine="180"/>
        <w:jc w:val="both"/>
      </w:pPr>
      <w:r>
        <w:rPr>
          <w:rFonts w:ascii="Times New Roman" w:hAnsi="Times New Roman" w:eastAsia="Times New Roman"/>
          <w:sz w:val="20"/>
        </w:rPr>
        <w:t>In a companion study, the author identified seven robust HEXACO clusters in a Japanese sample of N = 13,668 [13]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[14] (N = 354).</w:t>
      </w:r>
    </w:p>
    <w:p>
      <w:pPr>
        <w:spacing w:line="240" w:lineRule="auto" w:before="0" w:after="0"/>
        <w:ind w:firstLine="180"/>
        <w:jc w:val="both"/>
      </w:pPr>
      <w:r>
        <w:rPr>
          <w:rFonts w:ascii="Times New Roman" w:hAnsi="Times New Roman" w:eastAsia="Times New Roman"/>
          <w:sz w:val="20"/>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240" w:lineRule="auto" w:before="80" w:after="40"/>
      </w:pPr>
      <w:r>
        <w:rPr>
          <w:rFonts w:ascii="Times New Roman" w:hAnsi="Times New Roman" w:eastAsia="Times New Roman"/>
          <w:b/>
          <w:color w:val="000000"/>
          <w:sz w:val="20"/>
        </w:rPr>
        <w:t>C. Microsimulation as a methodological bridge</w:t>
      </w:r>
    </w:p>
    <w:p>
      <w:pPr>
        <w:spacing w:line="240" w:lineRule="auto" w:before="0" w:after="0"/>
        <w:ind w:firstLine="180"/>
        <w:jc w:val="both"/>
      </w:pPr>
      <w:r>
        <w:rPr>
          <w:rFonts w:ascii="Times New Roman" w:hAnsi="Times New Roman" w:eastAsia="Times New Roman"/>
          <w:sz w:val="20"/>
        </w:rPr>
        <w:t>Microsimulation methods, originating in demographic and economic policy analysis [15] and extended into epidemiology and public health [16],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240" w:lineRule="auto" w:before="0" w:after="0"/>
        <w:ind w:firstLine="180"/>
        <w:jc w:val="both"/>
      </w:pPr>
      <w:r>
        <w:rPr>
          <w:rFonts w:ascii="Times New Roman" w:hAnsi="Times New Roman" w:eastAsia="Times New Roman"/>
          <w:sz w:val="20"/>
        </w:rPr>
        <w:t>The present study adopts the framework of target trial emulation [17]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[18] (SUTVA). We address each assumption explicitly in the Methods and Discussion.</w:t>
      </w:r>
    </w:p>
    <w:p>
      <w:pPr>
        <w:spacing w:line="240" w:lineRule="auto" w:before="0" w:after="0"/>
        <w:ind w:firstLine="180"/>
        <w:jc w:val="both"/>
      </w:pPr>
      <w:r>
        <w:rPr>
          <w:rFonts w:ascii="Times New Roman" w:hAnsi="Times New Roman" w:eastAsia="Times New Roman"/>
          <w:sz w:val="20"/>
        </w:rPr>
        <w:t>Counterfactual contrasts are formulated using the Pearl [33] do-operator. Specifically, we define three pre-registered interventions:</w:t>
      </w:r>
    </w:p>
    <w:p>
      <w:pPr>
        <w:pStyle w:val="ListBullet"/>
        <w:spacing w:line="240" w:lineRule="auto" w:before="0" w:after="0"/>
        <w:jc w:val="both"/>
      </w:pPr>
      <w:r>
        <w:rPr>
          <w:rFonts w:ascii="Times New Roman" w:hAnsi="Times New Roman" w:eastAsia="Times New Roman"/>
          <w:sz w:val="20"/>
        </w:rPr>
        <w:t>Counterfactual A (personality intervention): do(HH ← HH + 0.3 σ_HH; A ← A + 0.3 σ_A; E ← E + 0.3 σ_E). The +0.3 SD calibration is derived from the upper bound of effect sizes reported in personality-training meta-analyses [19], [20].</w:t>
      </w:r>
    </w:p>
    <w:p>
      <w:pPr>
        <w:pStyle w:val="ListBullet"/>
        <w:spacing w:line="240" w:lineRule="auto" w:before="0" w:after="0"/>
        <w:jc w:val="both"/>
      </w:pPr>
      <w:r>
        <w:rPr>
          <w:rFonts w:ascii="Times New Roman" w:hAnsi="Times New Roman" w:eastAsia="Times New Roman"/>
          <w:sz w:val="20"/>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240" w:lineRule="auto" w:before="0" w:after="0"/>
        <w:jc w:val="both"/>
      </w:pPr>
      <w:r>
        <w:rPr>
          <w:rFonts w:ascii="Times New Roman" w:hAnsi="Times New Roman" w:eastAsia="Times New Roman"/>
          <w:sz w:val="20"/>
        </w:rPr>
        <w:t>Counterfactual C (structural reform): do(P_{c, x = power} ← 0.8 × P_{c, x = power}). Cell-level propensity is reduced by 20% uniformly across all cluster × gender cells, calibrated against three meta-analyses of organizational anti-harassment interventions [5], [21], [22], as well as the empirical −13.2 percentage-point reduction observed in the MHLW survey series between FY2016 and FY2023, spanning the 2020 Power Harassment Prevention Law's staged enforcement.</w:t>
      </w:r>
    </w:p>
    <w:p>
      <w:pPr>
        <w:spacing w:line="240" w:lineRule="auto" w:before="0" w:after="0"/>
        <w:ind w:firstLine="180"/>
        <w:jc w:val="both"/>
      </w:pPr>
      <w:r>
        <w:rPr>
          <w:rFonts w:ascii="Times New Roman" w:hAnsi="Times New Roman" w:eastAsia="Times New Roman"/>
          <w:sz w:val="20"/>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240" w:lineRule="auto" w:before="80" w:after="40"/>
      </w:pPr>
      <w:r>
        <w:rPr>
          <w:rFonts w:ascii="Times New Roman" w:hAnsi="Times New Roman" w:eastAsia="Times New Roman"/>
          <w:b/>
          <w:color w:val="000000"/>
          <w:sz w:val="20"/>
        </w:rPr>
        <w:t>D. Hypotheses</w:t>
      </w:r>
    </w:p>
    <w:p>
      <w:pPr>
        <w:spacing w:line="240" w:lineRule="auto" w:before="0" w:after="0"/>
        <w:ind w:firstLine="180"/>
        <w:jc w:val="both"/>
      </w:pPr>
      <w:r>
        <w:rPr>
          <w:rFonts w:ascii="Times New Roman" w:hAnsi="Times New Roman" w:eastAsia="Times New Roman"/>
          <w:sz w:val="20"/>
        </w:rPr>
        <w:t>The pre-registration (v2.0) specifies seven primary hypotheses:</w:t>
      </w:r>
    </w:p>
    <w:p>
      <w:pPr>
        <w:pStyle w:val="ListBullet"/>
        <w:spacing w:line="240" w:lineRule="auto" w:before="0" w:after="0"/>
        <w:jc w:val="both"/>
      </w:pPr>
      <w:r>
        <w:rPr>
          <w:rFonts w:ascii="Times New Roman" w:hAnsi="Times New Roman" w:eastAsia="Times New Roman"/>
          <w:sz w:val="20"/>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240" w:lineRule="auto" w:before="0" w:after="0"/>
        <w:jc w:val="both"/>
      </w:pPr>
      <w:r>
        <w:rPr>
          <w:rFonts w:ascii="Times New Roman" w:hAnsi="Times New Roman" w:eastAsia="Times New Roman"/>
          <w:sz w:val="20"/>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240" w:lineRule="auto" w:before="0" w:after="0"/>
        <w:jc w:val="both"/>
      </w:pPr>
      <w:r>
        <w:rPr>
          <w:rFonts w:ascii="Times New Roman" w:hAnsi="Times New Roman" w:eastAsia="Times New Roman"/>
          <w:sz w:val="20"/>
        </w:rPr>
        <w:t>H3 (centroid concordance): The published centroids [13] fitted in the N = 13,668 sample are reproduced within sampling error in the N = 354 subsample [14].</w:t>
      </w:r>
    </w:p>
    <w:p>
      <w:pPr>
        <w:pStyle w:val="ListBullet"/>
        <w:spacing w:line="240" w:lineRule="auto" w:before="0" w:after="0"/>
        <w:jc w:val="both"/>
      </w:pPr>
      <w:r>
        <w:rPr>
          <w:rFonts w:ascii="Times New Roman" w:hAnsi="Times New Roman" w:eastAsia="Times New Roman"/>
          <w:sz w:val="20"/>
        </w:rPr>
        <w:t>H4 (cell-stratified internal consistency): Per-cell propensity estimates p̂_c are stable across alternative bootstrap procedures within each cell.</w:t>
      </w:r>
    </w:p>
    <w:p>
      <w:pPr>
        <w:pStyle w:val="ListBullet"/>
        <w:spacing w:line="240" w:lineRule="auto" w:before="0" w:after="0"/>
        <w:jc w:val="both"/>
      </w:pPr>
      <w:r>
        <w:rPr>
          <w:rFonts w:ascii="Times New Roman" w:hAnsi="Times New Roman" w:eastAsia="Times New Roman"/>
          <w:sz w:val="20"/>
        </w:rPr>
        <w:t>H5 (gender invariance): The HEXACO-harassment association is qualitatively similar across genders (verified via 14-cell vs 28-cell sensitivity).</w:t>
      </w:r>
    </w:p>
    <w:p>
      <w:pPr>
        <w:pStyle w:val="ListBullet"/>
        <w:spacing w:line="240" w:lineRule="auto" w:before="0" w:after="0"/>
        <w:jc w:val="both"/>
      </w:pPr>
      <w:r>
        <w:rPr>
          <w:rFonts w:ascii="Times New Roman" w:hAnsi="Times New Roman" w:eastAsia="Times New Roman"/>
          <w:sz w:val="20"/>
        </w:rPr>
        <w:t>H6 (cross-domain triangulation): Power and gender harassment scales [23], [24] yield concordant cluster-level rankings.</w:t>
      </w:r>
    </w:p>
    <w:p>
      <w:pPr>
        <w:pStyle w:val="ListBullet"/>
        <w:spacing w:line="240" w:lineRule="auto" w:before="0" w:after="0"/>
        <w:jc w:val="both"/>
      </w:pPr>
      <w:r>
        <w:rPr>
          <w:rFonts w:ascii="Times New Roman" w:hAnsi="Times New Roman" w:eastAsia="Times New Roman"/>
          <w:sz w:val="20"/>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240" w:lineRule="auto" w:before="80" w:after="40"/>
      </w:pPr>
      <w:r>
        <w:rPr>
          <w:rFonts w:ascii="Times New Roman" w:hAnsi="Times New Roman" w:eastAsia="Times New Roman"/>
          <w:b/>
          <w:color w:val="000000"/>
          <w:sz w:val="20"/>
        </w:rPr>
        <w:t>E. Purpose and significance of the present study</w:t>
      </w:r>
    </w:p>
    <w:p>
      <w:pPr>
        <w:spacing w:line="240" w:lineRule="auto" w:before="0" w:after="0"/>
        <w:ind w:firstLine="180"/>
        <w:jc w:val="both"/>
      </w:pPr>
      <w:r>
        <w:rPr>
          <w:rFonts w:ascii="Times New Roman" w:hAnsi="Times New Roman" w:eastAsia="Times New Roman"/>
          <w:sz w:val="20"/>
        </w:rPr>
        <w:t>This study makes four scientific contributions:</w:t>
      </w:r>
    </w:p>
    <w:p>
      <w:pPr>
        <w:pStyle w:val="ListBullet"/>
        <w:spacing w:line="240" w:lineRule="auto" w:before="0" w:after="0"/>
        <w:jc w:val="both"/>
      </w:pPr>
      <w:r>
        <w:rPr>
          <w:rFonts w:ascii="Times New Roman" w:hAnsi="Times New Roman" w:eastAsia="Times New Roman"/>
          <w:sz w:val="20"/>
        </w:rPr>
        <w:t>Methodological: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[14] and Tokiwa [13]; deposit details are provided in Methods (Data availability).</w:t>
      </w:r>
    </w:p>
    <w:p>
      <w:pPr>
        <w:pStyle w:val="ListBullet"/>
        <w:spacing w:line="240" w:lineRule="auto" w:before="0" w:after="0"/>
        <w:jc w:val="both"/>
      </w:pPr>
      <w:r>
        <w:rPr>
          <w:rFonts w:ascii="Times New Roman" w:hAnsi="Times New Roman" w:eastAsia="Times New Roman"/>
          <w:sz w:val="20"/>
        </w:rPr>
        <w:t>Empirical: It provides a quantitative apples-to-apples comparison of person-level and system-level intervention contrasts on Japanese workplace-harassment prevalence, with each counterfactual calibrated to effect sizes drawn from prior meta-analyses.</w:t>
      </w:r>
    </w:p>
    <w:p>
      <w:pPr>
        <w:pStyle w:val="ListBullet"/>
        <w:spacing w:line="240" w:lineRule="auto" w:before="0" w:after="0"/>
        <w:jc w:val="both"/>
      </w:pPr>
      <w:r>
        <w:rPr>
          <w:rFonts w:ascii="Times New Roman" w:hAnsi="Times New Roman" w:eastAsia="Times New Roman"/>
          <w:sz w:val="20"/>
        </w:rPr>
        <w:t>Theoretical: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w:t>
      </w:r>
    </w:p>
    <w:p>
      <w:pPr>
        <w:pStyle w:val="ListBullet"/>
        <w:spacing w:line="240" w:lineRule="auto" w:before="0" w:after="0"/>
        <w:jc w:val="both"/>
      </w:pPr>
      <w:r>
        <w:rPr>
          <w:rFonts w:ascii="Times New Roman" w:hAnsi="Times New Roman" w:eastAsia="Times New Roman"/>
          <w:sz w:val="20"/>
        </w:rPr>
        <w:t>Substantive: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240" w:lineRule="auto" w:before="160" w:after="80"/>
        <w:jc w:val="left"/>
      </w:pPr>
      <w:r>
        <w:rPr>
          <w:rFonts w:ascii="Helvetica Neue" w:hAnsi="Helvetica Neue" w:eastAsia="Helvetica Neue"/>
          <w:b/>
          <w:color w:val="00629B"/>
          <w:sz w:val="18"/>
        </w:rPr>
        <w:t>III. METHODS</w:t>
      </w:r>
    </w:p>
    <w:p>
      <w:pPr>
        <w:spacing w:line="240" w:lineRule="auto" w:before="80" w:after="40"/>
      </w:pPr>
      <w:r>
        <w:rPr>
          <w:rFonts w:ascii="Times New Roman" w:hAnsi="Times New Roman" w:eastAsia="Times New Roman"/>
          <w:b/>
          <w:color w:val="000000"/>
          <w:sz w:val="20"/>
        </w:rPr>
        <w:t>A. Data sources</w:t>
      </w:r>
    </w:p>
    <w:p>
      <w:pPr>
        <w:spacing w:line="240" w:lineRule="auto" w:before="40" w:after="40"/>
      </w:pPr>
      <w:r>
        <w:rPr>
          <w:rFonts w:ascii="Helvetica Neue" w:hAnsi="Helvetica Neue" w:eastAsia="Helvetica Neue"/>
          <w:b/>
          <w:color w:val="58595B"/>
          <w:sz w:val="18"/>
        </w:rPr>
        <w:t>1) Individual-level harassment data (N = 354):</w:t>
      </w:r>
    </w:p>
    <w:p>
      <w:pPr>
        <w:spacing w:line="240" w:lineRule="auto" w:before="0" w:after="0"/>
        <w:ind w:firstLine="180"/>
        <w:jc w:val="both"/>
      </w:pPr>
      <w:r>
        <w:rPr>
          <w:rFonts w:ascii="Times New Roman" w:hAnsi="Times New Roman" w:eastAsia="Times New Roman"/>
          <w:sz w:val="20"/>
        </w:rPr>
        <w:t>We use the Tokiwa harassment preprint dataset [14] (IRB-approved), comprising N = 354 Japanese workplace participants who completed the following self-report measures:</w:t>
      </w:r>
    </w:p>
    <w:p>
      <w:pPr>
        <w:pStyle w:val="ListBullet"/>
        <w:spacing w:line="240" w:lineRule="auto" w:before="0" w:after="0"/>
        <w:jc w:val="both"/>
      </w:pPr>
      <w:r>
        <w:rPr>
          <w:rFonts w:ascii="Times New Roman" w:hAnsi="Times New Roman" w:eastAsia="Times New Roman"/>
          <w:sz w:val="20"/>
        </w:rPr>
        <w:t>HEXACO-60 [25] (Japanese adaptation of Ashton &amp; Lee, 2009): 60-item Likert 1-5 scale yielding six domain scores (H, E, X, A, C, O).</w:t>
      </w:r>
    </w:p>
    <w:p>
      <w:pPr>
        <w:pStyle w:val="ListBullet"/>
        <w:spacing w:line="240" w:lineRule="auto" w:before="0" w:after="0"/>
        <w:jc w:val="both"/>
      </w:pPr>
      <w:r>
        <w:rPr>
          <w:rFonts w:ascii="Times New Roman" w:hAnsi="Times New Roman" w:eastAsia="Times New Roman"/>
          <w:sz w:val="20"/>
        </w:rPr>
        <w:t>Dark Triad scales (Machiavellianism, Narcissism, Psychopathy): used in the common-method-variance diagnostic (Stage 5, below) but not in the primary analysis.</w:t>
      </w:r>
    </w:p>
    <w:p>
      <w:pPr>
        <w:pStyle w:val="ListBullet"/>
        <w:spacing w:line="240" w:lineRule="auto" w:before="0" w:after="0"/>
        <w:jc w:val="both"/>
      </w:pPr>
      <w:r>
        <w:rPr>
          <w:rFonts w:ascii="Times New Roman" w:hAnsi="Times New Roman" w:eastAsia="Times New Roman"/>
          <w:sz w:val="20"/>
        </w:rPr>
        <w:t>Workplace Power Harassment Scale [23]: continuous severity scale measuring past-three-year power-harassment victimization frequency in the participant's workplace.</w:t>
      </w:r>
    </w:p>
    <w:p>
      <w:pPr>
        <w:pStyle w:val="ListBullet"/>
        <w:spacing w:line="240" w:lineRule="auto" w:before="0" w:after="0"/>
        <w:jc w:val="both"/>
      </w:pPr>
      <w:r>
        <w:rPr>
          <w:rFonts w:ascii="Times New Roman" w:hAnsi="Times New Roman" w:eastAsia="Times New Roman"/>
          <w:sz w:val="20"/>
        </w:rPr>
        <w:t>Gender Harassment Scale [24]: continuous severity scale; used as triangulation outcome (H6).</w:t>
      </w:r>
    </w:p>
    <w:p>
      <w:pPr>
        <w:pStyle w:val="ListBullet"/>
        <w:spacing w:line="240" w:lineRule="auto" w:before="0" w:after="0"/>
        <w:jc w:val="both"/>
      </w:pPr>
      <w:r>
        <w:rPr>
          <w:rFonts w:ascii="Times New Roman" w:hAnsi="Times New Roman" w:eastAsia="Times New Roman"/>
          <w:sz w:val="20"/>
        </w:rPr>
        <w:t>Demographics: binary self-reported gender (0 = female, 1 = male), age (continuous), prefecture-level region (categorical).</w:t>
      </w:r>
    </w:p>
    <w:p>
      <w:pPr>
        <w:spacing w:line="240" w:lineRule="auto" w:before="40" w:after="40"/>
      </w:pPr>
      <w:r>
        <w:rPr>
          <w:rFonts w:ascii="Helvetica Neue" w:hAnsi="Helvetica Neue" w:eastAsia="Helvetica Neue"/>
          <w:b/>
          <w:color w:val="58595B"/>
          <w:sz w:val="18"/>
        </w:rPr>
        <w:t>2) Cluster centroids [13] (N = 13,668):</w:t>
      </w:r>
    </w:p>
    <w:p>
      <w:pPr>
        <w:spacing w:line="240" w:lineRule="auto" w:before="0" w:after="0"/>
        <w:ind w:firstLine="180"/>
        <w:jc w:val="both"/>
      </w:pPr>
      <w:r>
        <w:rPr>
          <w:rFonts w:ascii="Times New Roman" w:hAnsi="Times New Roman" w:eastAsia="Times New Roman"/>
          <w:sz w:val="20"/>
        </w:rPr>
        <w:t>Seven HEXACO cluster centroids were taken from the previously published Tokiwa [13] clustering of N = 13,668 Japanese respondents. Per pre-registration,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240" w:lineRule="auto" w:before="40" w:after="40"/>
      </w:pPr>
      <w:r>
        <w:rPr>
          <w:rFonts w:ascii="Helvetica Neue" w:hAnsi="Helvetica Neue" w:eastAsia="Helvetica Neue"/>
          <w:b/>
          <w:color w:val="58595B"/>
          <w:sz w:val="18"/>
        </w:rPr>
        <w:t>3) Population reweighting (Statistics Bureau Labor Force Survey 2022):</w:t>
      </w:r>
    </w:p>
    <w:p>
      <w:pPr>
        <w:spacing w:line="240" w:lineRule="auto" w:before="0" w:after="0"/>
        <w:ind w:firstLine="180"/>
        <w:jc w:val="both"/>
      </w:pPr>
      <w:r>
        <w:rPr>
          <w:rFonts w:ascii="Times New Roman" w:hAnsi="Times New Roman" w:eastAsia="Times New Roman"/>
          <w:sz w:val="20"/>
        </w:rPr>
        <w:t>Marginal gender-by-age proportions for the Japanese working population were obtained from the Labor Force Survey Basic Tabulation 2022 Annual Average, published by the Statistics Bureau, Ministry of Internal Affairs and Communications [26]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240" w:lineRule="auto" w:before="40" w:after="40"/>
      </w:pPr>
      <w:r>
        <w:rPr>
          <w:rFonts w:ascii="Helvetica Neue" w:hAnsi="Helvetica Neue" w:eastAsia="Helvetica Neue"/>
          <w:b/>
          <w:color w:val="58595B"/>
          <w:sz w:val="18"/>
        </w:rPr>
        <w:t>4) MHLW power-harassment victimization targets:</w:t>
      </w:r>
    </w:p>
    <w:p>
      <w:pPr>
        <w:spacing w:line="240" w:lineRule="auto" w:before="0" w:after="0"/>
        <w:ind w:firstLine="180"/>
        <w:jc w:val="both"/>
      </w:pPr>
      <w:r>
        <w:rPr>
          <w:rFonts w:ascii="Times New Roman" w:hAnsi="Times New Roman" w:eastAsia="Times New Roman"/>
          <w:sz w:val="20"/>
        </w:rPr>
        <w:t>Past-three-year power-harassment victimization rates from three MHLW Workplace Harassment Surveys [1] serve as external validation targets for H1:</w:t>
      </w:r>
    </w:p>
    <w:p>
      <w:pPr>
        <w:pStyle w:val="ListBullet"/>
        <w:spacing w:line="240" w:lineRule="auto" w:before="0" w:after="0"/>
        <w:jc w:val="both"/>
      </w:pPr>
      <w:r>
        <w:rPr>
          <w:rFonts w:ascii="Times New Roman" w:hAnsi="Times New Roman" w:eastAsia="Times New Roman"/>
          <w:sz w:val="20"/>
        </w:rPr>
        <w:t>FY2016 (32.5%) — pre-law, primary target;</w:t>
      </w:r>
    </w:p>
    <w:p>
      <w:pPr>
        <w:pStyle w:val="ListBullet"/>
        <w:spacing w:line="240" w:lineRule="auto" w:before="0" w:after="0"/>
        <w:jc w:val="both"/>
      </w:pPr>
      <w:r>
        <w:rPr>
          <w:rFonts w:ascii="Times New Roman" w:hAnsi="Times New Roman" w:eastAsia="Times New Roman"/>
          <w:sz w:val="20"/>
        </w:rPr>
        <w:t>FY2020 (31.4%) — transition period, secondary target;</w:t>
      </w:r>
    </w:p>
    <w:p>
      <w:pPr>
        <w:pStyle w:val="ListBullet"/>
        <w:spacing w:line="240" w:lineRule="auto" w:before="0" w:after="0"/>
        <w:jc w:val="both"/>
      </w:pPr>
      <w:r>
        <w:rPr>
          <w:rFonts w:ascii="Times New Roman" w:hAnsi="Times New Roman" w:eastAsia="Times New Roman"/>
          <w:sz w:val="20"/>
        </w:rPr>
        <w:t>FY2023 (19.3%) — post-law, secondary target.</w:t>
      </w:r>
    </w:p>
    <w:p>
      <w:pPr>
        <w:spacing w:line="240" w:lineRule="auto" w:before="80" w:after="40"/>
      </w:pPr>
      <w:r>
        <w:rPr>
          <w:rFonts w:ascii="Times New Roman" w:hAnsi="Times New Roman" w:eastAsia="Times New Roman"/>
          <w:b/>
          <w:color w:val="000000"/>
          <w:sz w:val="20"/>
        </w:rPr>
        <w:t>B. Pre-registered analytic pipeline</w:t>
      </w:r>
    </w:p>
    <w:p>
      <w:pPr>
        <w:spacing w:line="240" w:lineRule="auto" w:before="0" w:after="0"/>
        <w:ind w:firstLine="180"/>
        <w:jc w:val="both"/>
      </w:pPr>
      <w:r>
        <w:rPr>
          <w:rFonts w:ascii="Times New Roman" w:hAnsi="Times New Roman" w:eastAsia="Times New Roman"/>
          <w:sz w:val="20"/>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240" w:lineRule="auto" w:before="40" w:after="40"/>
      </w:pPr>
      <w:r>
        <w:rPr>
          <w:rFonts w:ascii="Helvetica Neue" w:hAnsi="Helvetica Neue" w:eastAsia="Helvetica Neue"/>
          <w:b/>
          <w:color w:val="58595B"/>
          <w:sz w:val="18"/>
        </w:rPr>
        <w:t>1) Stage 0: Type assignment, cell propensity, and 28-cell empirical Bayes:</w:t>
      </w:r>
    </w:p>
    <w:p>
      <w:pPr>
        <w:spacing w:line="240" w:lineRule="auto" w:before="0" w:after="0"/>
        <w:ind w:firstLine="180"/>
        <w:jc w:val="both"/>
      </w:pPr>
      <w:r>
        <w:rPr>
          <w:rFonts w:ascii="Times New Roman" w:hAnsi="Times New Roman" w:eastAsia="Times New Roman"/>
          <w:sz w:val="20"/>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240" w:lineRule="auto" w:before="0" w:after="0"/>
        <w:ind w:firstLine="180"/>
        <w:jc w:val="both"/>
      </w:pPr>
      <w:r>
        <w:rPr>
          <w:rFonts w:ascii="Times New Roman" w:hAnsi="Times New Roman" w:eastAsia="Times New Roman"/>
          <w:sz w:val="20"/>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pStyle w:val="ListBullet"/>
        <w:spacing w:line="240" w:lineRule="auto" w:before="0" w:after="0"/>
        <w:jc w:val="both"/>
      </w:pPr>
      <w:r>
        <w:rPr>
          <w:rFonts w:ascii="Times New Roman" w:hAnsi="Times New Roman" w:eastAsia="Times New Roman"/>
          <w:sz w:val="20"/>
        </w:rPr>
        <w:t>Clopper-Pearson exact binomial interval for degenerate cells (X_c ∈ {0, N_c});</w:t>
      </w:r>
    </w:p>
    <w:p>
      <w:pPr>
        <w:pStyle w:val="ListBullet"/>
        <w:spacing w:line="240" w:lineRule="auto" w:before="0" w:after="0"/>
        <w:jc w:val="both"/>
      </w:pPr>
      <w:r>
        <w:rPr>
          <w:rFonts w:ascii="Times New Roman" w:hAnsi="Times New Roman" w:eastAsia="Times New Roman"/>
          <w:sz w:val="20"/>
        </w:rPr>
        <w:t>BCa [27] (Bias-Corrected accelerated) with the jackknife acceleration parameter â when |a| ≤ 10;</w:t>
      </w:r>
    </w:p>
    <w:p>
      <w:pPr>
        <w:pStyle w:val="ListBullet"/>
        <w:spacing w:line="240" w:lineRule="auto" w:before="0" w:after="0"/>
        <w:jc w:val="both"/>
      </w:pPr>
      <w:r>
        <w:rPr>
          <w:rFonts w:ascii="Times New Roman" w:hAnsi="Times New Roman" w:eastAsia="Times New Roman"/>
          <w:sz w:val="20"/>
        </w:rPr>
        <w:t>BC (bias-corrected only) when BCa fails or |a| &gt; 10;</w:t>
      </w:r>
    </w:p>
    <w:p>
      <w:pPr>
        <w:pStyle w:val="ListBullet"/>
        <w:spacing w:line="240" w:lineRule="auto" w:before="0" w:after="0"/>
        <w:jc w:val="both"/>
      </w:pPr>
      <w:r>
        <w:rPr>
          <w:rFonts w:ascii="Times New Roman" w:hAnsi="Times New Roman" w:eastAsia="Times New Roman"/>
          <w:sz w:val="20"/>
        </w:rPr>
        <w:t>Percentile as a final fallback.</w:t>
      </w:r>
    </w:p>
    <w:p>
      <w:pPr>
        <w:spacing w:line="240" w:lineRule="auto" w:before="0" w:after="0"/>
        <w:ind w:firstLine="180"/>
        <w:jc w:val="both"/>
      </w:pPr>
      <w:r>
        <w:rPr>
          <w:rFonts w:ascii="Times New Roman" w:hAnsi="Times New Roman" w:eastAsia="Times New Roman"/>
          <w:sz w:val="20"/>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240" w:lineRule="auto" w:before="40" w:after="40"/>
      </w:pPr>
      <w:r>
        <w:rPr>
          <w:rFonts w:ascii="Helvetica Neue" w:hAnsi="Helvetica Neue" w:eastAsia="Helvetica Neue"/>
          <w:b/>
          <w:color w:val="58595B"/>
          <w:sz w:val="18"/>
        </w:rPr>
        <w:t>2) Stage 1: National prevalence aggregation:</w:t>
      </w:r>
    </w:p>
    <w:p>
      <w:pPr>
        <w:spacing w:line="240" w:lineRule="auto" w:before="0" w:after="0"/>
        <w:ind w:firstLine="180"/>
        <w:jc w:val="both"/>
      </w:pPr>
      <w:r>
        <w:rPr>
          <w:rFonts w:ascii="Times New Roman" w:hAnsi="Times New Roman" w:eastAsia="Times New Roman"/>
          <w:sz w:val="20"/>
        </w:rPr>
        <w:t>The national prevalence is computed as the weighted sum P̂_t = Σ_c (p̂_c × W_c) / Σ_c W_c, where W_c is the cluster × gender population weight. Cluster proportions remain at the Tokiwa [13]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240" w:lineRule="auto" w:before="40" w:after="40"/>
      </w:pPr>
      <w:r>
        <w:rPr>
          <w:rFonts w:ascii="Helvetica Neue" w:hAnsi="Helvetica Neue" w:eastAsia="Helvetica Neue"/>
          <w:b/>
          <w:color w:val="58595B"/>
          <w:sz w:val="18"/>
        </w:rPr>
        <w:t>3) Stage 2: H1 four-tier classification:</w:t>
      </w:r>
    </w:p>
    <w:p>
      <w:pPr>
        <w:spacing w:line="240" w:lineRule="auto" w:before="0" w:after="0"/>
        <w:ind w:firstLine="180"/>
        <w:jc w:val="both"/>
      </w:pPr>
      <w:r>
        <w:rPr>
          <w:rFonts w:ascii="Times New Roman" w:hAnsi="Times New Roman" w:eastAsia="Times New Roman"/>
          <w:sz w:val="20"/>
        </w:rPr>
        <w:t>Per the v2.0 master Section 5.4, the four-tier H1 hierarchy is:</w:t>
      </w:r>
    </w:p>
    <w:p>
      <w:pPr>
        <w:pStyle w:val="ListBullet"/>
        <w:spacing w:line="240" w:lineRule="auto" w:before="0" w:after="0"/>
        <w:jc w:val="both"/>
      </w:pPr>
      <w:r>
        <w:rPr>
          <w:rFonts w:ascii="Times New Roman" w:hAnsi="Times New Roman" w:eastAsia="Times New Roman"/>
          <w:sz w:val="20"/>
        </w:rPr>
        <w:t>Strict SUCCESS: point MAPE_FY2016 ≤ 30% AND CI upper bound ≤ 30%</w:t>
      </w:r>
    </w:p>
    <w:p>
      <w:pPr>
        <w:pStyle w:val="ListBullet"/>
        <w:spacing w:line="240" w:lineRule="auto" w:before="0" w:after="0"/>
        <w:jc w:val="both"/>
      </w:pPr>
      <w:r>
        <w:rPr>
          <w:rFonts w:ascii="Times New Roman" w:hAnsi="Times New Roman" w:eastAsia="Times New Roman"/>
          <w:sz w:val="20"/>
        </w:rPr>
        <w:t>Standard SUCCESS: point MAPE ≤ 30% (CI upper bound &gt; 30% permitted)</w:t>
      </w:r>
    </w:p>
    <w:p>
      <w:pPr>
        <w:pStyle w:val="ListBullet"/>
        <w:spacing w:line="240" w:lineRule="auto" w:before="0" w:after="0"/>
        <w:jc w:val="both"/>
      </w:pPr>
      <w:r>
        <w:rPr>
          <w:rFonts w:ascii="Times New Roman" w:hAnsi="Times New Roman" w:eastAsia="Times New Roman"/>
          <w:sz w:val="20"/>
        </w:rPr>
        <w:t>PARTIAL SUCCESS: 30% &lt; point MAPE ≤ 60%</w:t>
      </w:r>
    </w:p>
    <w:p>
      <w:pPr>
        <w:pStyle w:val="ListBullet"/>
        <w:spacing w:line="240" w:lineRule="auto" w:before="0" w:after="0"/>
        <w:jc w:val="both"/>
      </w:pPr>
      <w:r>
        <w:rPr>
          <w:rFonts w:ascii="Times New Roman" w:hAnsi="Times New Roman" w:eastAsia="Times New Roman"/>
          <w:sz w:val="20"/>
        </w:rPr>
        <w:t>FAILURE: point MAPE &gt; 60%</w:t>
      </w:r>
    </w:p>
    <w:p>
      <w:pPr>
        <w:spacing w:line="240" w:lineRule="auto" w:before="0" w:after="0"/>
        <w:ind w:firstLine="180"/>
        <w:jc w:val="both"/>
      </w:pPr>
      <w:r>
        <w:rPr>
          <w:rFonts w:ascii="Times New Roman" w:hAnsi="Times New Roman" w:eastAsia="Times New Roman"/>
          <w:sz w:val="20"/>
        </w:rPr>
        <w:t>Per the pre-registered headline-bootstrap rule, the national MAPE bootstrap uses B = 10,000; per-cell bootstrap remains at B = 2,000.</w:t>
      </w:r>
    </w:p>
    <w:p>
      <w:pPr>
        <w:spacing w:line="240" w:lineRule="auto" w:before="40" w:after="40"/>
      </w:pPr>
      <w:r>
        <w:rPr>
          <w:rFonts w:ascii="Helvetica Neue" w:hAnsi="Helvetica Neue" w:eastAsia="Helvetica Neue"/>
          <w:b/>
          <w:color w:val="58595B"/>
          <w:sz w:val="18"/>
        </w:rPr>
        <w:t>4) Stage 3: Sensitivity sweep:</w:t>
      </w:r>
    </w:p>
    <w:p>
      <w:pPr>
        <w:spacing w:line="240" w:lineRule="auto" w:before="0" w:after="0"/>
        <w:ind w:firstLine="180"/>
        <w:jc w:val="both"/>
      </w:pPr>
      <w:r>
        <w:rPr>
          <w:rFonts w:ascii="Times New Roman" w:hAnsi="Times New Roman" w:eastAsia="Times New Roman"/>
          <w:sz w:val="20"/>
        </w:rPr>
        <w:t>A one-at-a-time (OAT) sensitivity sweep around the locked main configuration is computed over four parameter families with B = 2,000 per row:</w:t>
      </w:r>
    </w:p>
    <w:p>
      <w:pPr>
        <w:pStyle w:val="ListBullet"/>
        <w:spacing w:line="240" w:lineRule="auto" w:before="0" w:after="0"/>
        <w:jc w:val="both"/>
      </w:pPr>
      <w:r>
        <w:rPr>
          <w:rFonts w:ascii="Times New Roman" w:hAnsi="Times New Roman" w:eastAsia="Times New Roman"/>
          <w:sz w:val="20"/>
        </w:rPr>
        <w:t>Binarization threshold ∈ {mean + 0.25 SD, mean + 0.5 SD (main), mean + 1.0 SD};</w:t>
      </w:r>
    </w:p>
    <w:p>
      <w:pPr>
        <w:pStyle w:val="ListBullet"/>
        <w:spacing w:line="240" w:lineRule="auto" w:before="0" w:after="0"/>
        <w:jc w:val="both"/>
      </w:pPr>
      <w:r>
        <w:rPr>
          <w:rFonts w:ascii="Times New Roman" w:hAnsi="Times New Roman" w:eastAsia="Times New Roman"/>
          <w:sz w:val="20"/>
        </w:rPr>
        <w:t>Soft-assignment τ factor ∈ {0.5, 1.0, 2.0} × median NN distance;</w:t>
      </w:r>
    </w:p>
    <w:p>
      <w:pPr>
        <w:pStyle w:val="ListBullet"/>
        <w:spacing w:line="240" w:lineRule="auto" w:before="0" w:after="0"/>
        <w:jc w:val="both"/>
      </w:pPr>
      <w:r>
        <w:rPr>
          <w:rFonts w:ascii="Times New Roman" w:hAnsi="Times New Roman" w:eastAsia="Times New Roman"/>
          <w:sz w:val="20"/>
        </w:rPr>
        <w:t>Empirical Bayes shrinkage scale ∈ {0.5×, 1.0× (main), 2.0×} prior pseudocount;</w:t>
      </w:r>
    </w:p>
    <w:p>
      <w:pPr>
        <w:pStyle w:val="ListBullet"/>
        <w:spacing w:line="240" w:lineRule="auto" w:before="0" w:after="0"/>
        <w:jc w:val="both"/>
      </w:pPr>
      <w:r>
        <w:rPr>
          <w:rFonts w:ascii="Times New Roman" w:hAnsi="Times New Roman" w:eastAsia="Times New Roman"/>
          <w:sz w:val="20"/>
        </w:rPr>
        <w:t>Cluster-proportion mass shift ∈ {−0.10, 0.0 (main), +0.10} (proxy for cluster-mass uncertainty under the pre-registered sensitivity specification; the full Cartesian sweep is deferred to follow-up work due to combinatorial cost).</w:t>
      </w:r>
    </w:p>
    <w:p>
      <w:pPr>
        <w:spacing w:line="240" w:lineRule="auto" w:before="40" w:after="40"/>
      </w:pPr>
      <w:r>
        <w:rPr>
          <w:rFonts w:ascii="Helvetica Neue" w:hAnsi="Helvetica Neue" w:eastAsia="Helvetica Neue"/>
          <w:b/>
          <w:color w:val="58595B"/>
          <w:sz w:val="18"/>
        </w:rPr>
        <w:t>5) Stage 4: Baseline comparison and H2 ordinal trend:</w:t>
      </w:r>
    </w:p>
    <w:p>
      <w:pPr>
        <w:spacing w:line="240" w:lineRule="auto" w:before="0" w:after="0"/>
        <w:ind w:firstLine="180"/>
        <w:jc w:val="both"/>
      </w:pPr>
      <w:r>
        <w:rPr>
          <w:rFonts w:ascii="Times New Roman" w:hAnsi="Times New Roman" w:eastAsia="Times New Roman"/>
          <w:sz w:val="20"/>
        </w:rPr>
        <w:t>Five baselines (B0–B4) of increasing sophistication are compared via cell-stratified bootstrap MAPE_FY2016:</w:t>
      </w:r>
    </w:p>
    <w:p>
      <w:pPr>
        <w:pStyle w:val="ListBullet"/>
        <w:spacing w:line="240" w:lineRule="auto" w:before="0" w:after="0"/>
        <w:jc w:val="both"/>
      </w:pPr>
      <w:r>
        <w:rPr>
          <w:rFonts w:ascii="Times New Roman" w:hAnsi="Times New Roman" w:eastAsia="Times New Roman"/>
          <w:sz w:val="20"/>
        </w:rPr>
        <w:t>B0: predicts MHLW grand mean (uniform);</w:t>
      </w:r>
    </w:p>
    <w:p>
      <w:pPr>
        <w:pStyle w:val="ListBullet"/>
        <w:spacing w:line="240" w:lineRule="auto" w:before="0" w:after="0"/>
        <w:jc w:val="both"/>
      </w:pPr>
      <w:r>
        <w:rPr>
          <w:rFonts w:ascii="Times New Roman" w:hAnsi="Times New Roman" w:eastAsia="Times New Roman"/>
          <w:sz w:val="20"/>
        </w:rPr>
        <w:t>B1: gender-only logistic regression;</w:t>
      </w:r>
    </w:p>
    <w:p>
      <w:pPr>
        <w:pStyle w:val="ListBullet"/>
        <w:spacing w:line="240" w:lineRule="auto" w:before="0" w:after="0"/>
        <w:jc w:val="both"/>
      </w:pPr>
      <w:r>
        <w:rPr>
          <w:rFonts w:ascii="Times New Roman" w:hAnsi="Times New Roman" w:eastAsia="Times New Roman"/>
          <w:sz w:val="20"/>
        </w:rPr>
        <w:t>B2: HEXACO 6-domain logistic regression;</w:t>
      </w:r>
    </w:p>
    <w:p>
      <w:pPr>
        <w:pStyle w:val="ListBullet"/>
        <w:spacing w:line="240" w:lineRule="auto" w:before="0" w:after="0"/>
        <w:jc w:val="both"/>
      </w:pPr>
      <w:r>
        <w:rPr>
          <w:rFonts w:ascii="Times New Roman" w:hAnsi="Times New Roman" w:eastAsia="Times New Roman"/>
          <w:sz w:val="20"/>
        </w:rPr>
        <w:t>B3: 14-cell conditional propensity (the main pipeline);</w:t>
      </w:r>
    </w:p>
    <w:p>
      <w:pPr>
        <w:pStyle w:val="ListBullet"/>
        <w:spacing w:line="240" w:lineRule="auto" w:before="0" w:after="0"/>
        <w:jc w:val="both"/>
      </w:pPr>
      <w:r>
        <w:rPr>
          <w:rFonts w:ascii="Times New Roman" w:hAnsi="Times New Roman" w:eastAsia="Times New Roman"/>
          <w:sz w:val="20"/>
        </w:rPr>
        <w:t>B4: extended with age and age × cluster interactions (industry breakdown deferred to follow-up under the cluster-proportion limitation discussed in §Data availability).</w:t>
      </w:r>
    </w:p>
    <w:p>
      <w:pPr>
        <w:spacing w:line="240" w:lineRule="auto" w:before="0" w:after="0"/>
        <w:ind w:firstLine="180"/>
        <w:jc w:val="both"/>
      </w:pPr>
      <w:r>
        <w:rPr>
          <w:rFonts w:ascii="Times New Roman" w:hAnsi="Times New Roman" w:eastAsia="Times New Roman"/>
          <w:sz w:val="20"/>
        </w:rPr>
        <w:t>H2 is tested via the Bonferroni-Holm-corrected family of pairwise inequalities (B0–B1, B1–B2, B2–B3, B3–B4) with a one-sided α = 0.05; Page's L (1963) ordinal trend test is reported as a pre-registered auxiliary statistic.</w:t>
      </w:r>
    </w:p>
    <w:p>
      <w:pPr>
        <w:spacing w:line="240" w:lineRule="auto" w:before="40" w:after="40"/>
      </w:pPr>
      <w:r>
        <w:rPr>
          <w:rFonts w:ascii="Helvetica Neue" w:hAnsi="Helvetica Neue" w:eastAsia="Helvetica Neue"/>
          <w:b/>
          <w:color w:val="58595B"/>
          <w:sz w:val="18"/>
        </w:rPr>
        <w:t>6) Stage 5: Common-method-variance diagnostic:</w:t>
      </w:r>
    </w:p>
    <w:p>
      <w:pPr>
        <w:spacing w:line="240" w:lineRule="auto" w:before="0" w:after="0"/>
        <w:ind w:firstLine="180"/>
        <w:jc w:val="both"/>
      </w:pPr>
      <w:r>
        <w:rPr>
          <w:rFonts w:ascii="Times New Roman" w:hAnsi="Times New Roman" w:eastAsia="Times New Roman"/>
          <w:sz w:val="20"/>
        </w:rPr>
        <w:t>CMV is assessed via Harman's single-factor test [28]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240" w:lineRule="auto" w:before="40" w:after="40"/>
      </w:pPr>
      <w:r>
        <w:rPr>
          <w:rFonts w:ascii="Helvetica Neue" w:hAnsi="Helvetica Neue" w:eastAsia="Helvetica Neue"/>
          <w:b/>
          <w:color w:val="58595B"/>
          <w:sz w:val="18"/>
        </w:rPr>
        <w:t>7) Stage 6: Target trial PICO documentation:</w:t>
      </w:r>
    </w:p>
    <w:p>
      <w:pPr>
        <w:spacing w:line="240" w:lineRule="auto" w:before="0" w:after="0"/>
        <w:ind w:firstLine="180"/>
        <w:jc w:val="both"/>
      </w:pPr>
      <w:r>
        <w:rPr>
          <w:rFonts w:ascii="Times New Roman" w:hAnsi="Times New Roman" w:eastAsia="Times New Roman"/>
          <w:sz w:val="20"/>
        </w:rPr>
        <w:t>Stage 6 produces a metadata-only artifact documenting the target trial [17] PICO and four identifying assumptions: consistency, exchangeability, positivity, and SUTVA (strengthened with the Hudgens and Halloran (2008) peer-effect framework, per pre-registration).</w:t>
      </w:r>
    </w:p>
    <w:p>
      <w:pPr>
        <w:spacing w:line="240" w:lineRule="auto" w:before="40" w:after="40"/>
      </w:pPr>
      <w:r>
        <w:rPr>
          <w:rFonts w:ascii="Helvetica Neue" w:hAnsi="Helvetica Neue" w:eastAsia="Helvetica Neue"/>
          <w:b/>
          <w:color w:val="58595B"/>
          <w:sz w:val="18"/>
        </w:rPr>
        <w:t>8) Stage 7: Counterfactual ΔP_A, ΔP_B, ΔP_C and H7 IUT:</w:t>
      </w:r>
    </w:p>
    <w:p>
      <w:pPr>
        <w:spacing w:line="240" w:lineRule="auto" w:before="0" w:after="0"/>
        <w:ind w:firstLine="180"/>
        <w:jc w:val="both"/>
      </w:pPr>
      <w:r>
        <w:rPr>
          <w:rFonts w:ascii="Times New Roman" w:hAnsi="Times New Roman" w:eastAsia="Times New Roman"/>
          <w:sz w:val="20"/>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240" w:lineRule="auto" w:before="0" w:after="0"/>
        <w:ind w:firstLine="180"/>
        <w:jc w:val="both"/>
      </w:pPr>
      <w:r>
        <w:rPr>
          <w:rFonts w:ascii="Times New Roman" w:hAnsi="Times New Roman" w:eastAsia="Times New Roman"/>
          <w:sz w:val="20"/>
        </w:rPr>
        <w:t>Counterfactual B applies a +0.40 SD shift in Honesty-Humility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240" w:lineRule="auto" w:before="0" w:after="0"/>
        <w:ind w:firstLine="180"/>
        <w:jc w:val="both"/>
      </w:pPr>
      <w:r>
        <w:rPr>
          <w:rFonts w:ascii="Times New Roman" w:hAnsi="Times New Roman" w:eastAsia="Times New Roman"/>
          <w:sz w:val="20"/>
        </w:rPr>
        <w:t>Counterfactual C multiplies cell-level propensity by 0.80 uniformly across all cells while leaving HEXACO scores unchanged. The 20% reduction is calibrated against three meta-analyses [5], [21], [22] and the MHLW FY2016–FY2023 natural experiment (32.5% → 19.3%; −13.2 pp ≈ −40.6% relative). Positivity for C is trivially preserved (ρ ≡ 1) per pre-registration.</w:t>
      </w:r>
    </w:p>
    <w:p>
      <w:pPr>
        <w:spacing w:line="240" w:lineRule="auto" w:before="0" w:after="0"/>
        <w:ind w:firstLine="180"/>
        <w:jc w:val="both"/>
      </w:pPr>
      <w:r>
        <w:rPr>
          <w:rFonts w:ascii="Times New Roman" w:hAnsi="Times New Roman" w:eastAsia="Times New Roman"/>
          <w:sz w:val="20"/>
        </w:rPr>
        <w:t>The H7 intersection-union test [29] computes one-sided 95% lower bounds L_BA and L_BC for ΔP_B − ΔP_A and ΔP_B − ΔP_C, respectively, with bootstrap-resampled cell data (B = 2,000). The configuration is classified per the pre-registered priority cascade:</w:t>
      </w:r>
    </w:p>
    <w:p>
      <w:pPr>
        <w:pStyle w:val="ListBullet"/>
        <w:spacing w:line="240" w:lineRule="auto" w:before="0" w:after="0"/>
        <w:jc w:val="both"/>
      </w:pPr>
      <w:r>
        <w:rPr>
          <w:rFonts w:ascii="Times New Roman" w:hAnsi="Times New Roman" w:eastAsia="Times New Roman"/>
          <w:sz w:val="20"/>
        </w:rPr>
        <w:t>REVERSAL (priority 1): point ΔP_B &lt; point ΔP_A OR point ΔP_B &lt; point ΔP_C (B is dominated by A or C in point estimate, indicating that the pre-registered hypothesis ordering ΔP_B &gt; {ΔP_A, ΔP_C} is reversed);</w:t>
      </w:r>
    </w:p>
    <w:p>
      <w:pPr>
        <w:pStyle w:val="ListBullet"/>
        <w:spacing w:line="240" w:lineRule="auto" w:before="0" w:after="0"/>
        <w:jc w:val="both"/>
      </w:pPr>
      <w:r>
        <w:rPr>
          <w:rFonts w:ascii="Times New Roman" w:hAnsi="Times New Roman" w:eastAsia="Times New Roman"/>
          <w:sz w:val="20"/>
        </w:rPr>
        <w:t>CONFIRMED: L_BA &gt; 0 AND L_BC &gt; 0 (B dominates both A and C in CI lower bound);</w:t>
      </w:r>
    </w:p>
    <w:p>
      <w:pPr>
        <w:pStyle w:val="ListBullet"/>
        <w:spacing w:line="240" w:lineRule="auto" w:before="0" w:after="0"/>
        <w:jc w:val="both"/>
      </w:pPr>
      <w:r>
        <w:rPr>
          <w:rFonts w:ascii="Times New Roman" w:hAnsi="Times New Roman" w:eastAsia="Times New Roman"/>
          <w:sz w:val="20"/>
        </w:rPr>
        <w:t>PARTIAL: exactly one of L_BA, L_BC &gt; 0;</w:t>
      </w:r>
    </w:p>
    <w:p>
      <w:pPr>
        <w:pStyle w:val="ListBullet"/>
        <w:spacing w:line="240" w:lineRule="auto" w:before="0" w:after="0"/>
        <w:jc w:val="both"/>
      </w:pPr>
      <w:r>
        <w:rPr>
          <w:rFonts w:ascii="Times New Roman" w:hAnsi="Times New Roman" w:eastAsia="Times New Roman"/>
          <w:sz w:val="20"/>
        </w:rPr>
        <w:t>AMBIGUOUS: neither lower bound &gt; 0 (CIs allow zero or reversal).</w:t>
      </w:r>
    </w:p>
    <w:p>
      <w:pPr>
        <w:spacing w:line="240" w:lineRule="auto" w:before="40" w:after="40"/>
      </w:pPr>
      <w:r>
        <w:rPr>
          <w:rFonts w:ascii="Helvetica Neue" w:hAnsi="Helvetica Neue" w:eastAsia="Helvetica Neue"/>
          <w:b/>
          <w:color w:val="58595B"/>
          <w:sz w:val="18"/>
        </w:rPr>
        <w:t>9) Stage 8: Transportability factor sweep:</w:t>
      </w:r>
    </w:p>
    <w:p>
      <w:pPr>
        <w:spacing w:line="240" w:lineRule="auto" w:before="0" w:after="0"/>
        <w:ind w:firstLine="180"/>
        <w:jc w:val="both"/>
      </w:pPr>
      <w:r>
        <w:rPr>
          <w:rFonts w:ascii="Times New Roman" w:hAnsi="Times New Roman" w:eastAsia="Times New Roman"/>
          <w:sz w:val="20"/>
        </w:rPr>
        <w:t>Per the pre-registered cultural-attenuation sweep, the bootstrap distribution of each ΔP_x is multiplied by a transportability factor F ∈ {0.3, 0.5, 0.7, 1.0}, anchored as:</w:t>
      </w:r>
    </w:p>
    <w:p>
      <w:pPr>
        <w:pStyle w:val="ListBullet"/>
        <w:spacing w:line="240" w:lineRule="auto" w:before="0" w:after="0"/>
        <w:jc w:val="both"/>
      </w:pPr>
      <w:r>
        <w:rPr>
          <w:rFonts w:ascii="Times New Roman" w:hAnsi="Times New Roman" w:eastAsia="Times New Roman"/>
          <w:sz w:val="20"/>
        </w:rPr>
        <w:t>F = 0.3: Conservative cross-cultural attenuation (worst-case anchor; supported by Power et al. 2013 cross-continent variability findings);</w:t>
      </w:r>
    </w:p>
    <w:p>
      <w:pPr>
        <w:pStyle w:val="ListBullet"/>
        <w:spacing w:line="240" w:lineRule="auto" w:before="0" w:after="0"/>
        <w:jc w:val="both"/>
      </w:pPr>
      <w:r>
        <w:rPr>
          <w:rFonts w:ascii="Times New Roman" w:hAnsi="Times New Roman" w:eastAsia="Times New Roman"/>
          <w:sz w:val="20"/>
        </w:rPr>
        <w:t>F = 0.5: Nielsen et al. [6] Asia/Oceania attenuation expected (r = .16 vs European r = .33);</w:t>
      </w:r>
    </w:p>
    <w:p>
      <w:pPr>
        <w:pStyle w:val="ListBullet"/>
        <w:spacing w:line="240" w:lineRule="auto" w:before="0" w:after="0"/>
        <w:jc w:val="both"/>
      </w:pPr>
      <w:r>
        <w:rPr>
          <w:rFonts w:ascii="Times New Roman" w:hAnsi="Times New Roman" w:eastAsia="Times New Roman"/>
          <w:sz w:val="20"/>
        </w:rPr>
        <w:t>F = 0.7: Mild attenuation (intermediate);</w:t>
      </w:r>
    </w:p>
    <w:p>
      <w:pPr>
        <w:pStyle w:val="ListBullet"/>
        <w:spacing w:line="240" w:lineRule="auto" w:before="0" w:after="0"/>
        <w:jc w:val="both"/>
      </w:pPr>
      <w:r>
        <w:rPr>
          <w:rFonts w:ascii="Times New Roman" w:hAnsi="Times New Roman" w:eastAsia="Times New Roman"/>
          <w:sz w:val="20"/>
        </w:rPr>
        <w:t>F = 1.0: Reference (no attenuation).</w:t>
      </w:r>
    </w:p>
    <w:p>
      <w:pPr>
        <w:spacing w:line="240" w:lineRule="auto" w:before="0" w:after="0"/>
        <w:ind w:firstLine="180"/>
        <w:jc w:val="both"/>
      </w:pPr>
      <w:r>
        <w:rPr>
          <w:rFonts w:ascii="Times New Roman" w:hAnsi="Times New Roman" w:eastAsia="Times New Roman"/>
          <w:sz w:val="20"/>
        </w:rPr>
        <w:t>H7 is re-classified per attenuated factor to verify robustness.</w:t>
      </w:r>
    </w:p>
    <w:p>
      <w:pPr>
        <w:spacing w:line="240" w:lineRule="auto" w:before="80" w:after="40"/>
      </w:pPr>
      <w:r>
        <w:rPr>
          <w:rFonts w:ascii="Times New Roman" w:hAnsi="Times New Roman" w:eastAsia="Times New Roman"/>
          <w:b/>
          <w:color w:val="000000"/>
          <w:sz w:val="20"/>
        </w:rPr>
        <w:t>C. Reproducibility</w:t>
      </w:r>
    </w:p>
    <w:p>
      <w:pPr>
        <w:spacing w:line="240" w:lineRule="auto" w:before="0" w:after="0"/>
        <w:ind w:firstLine="180"/>
        <w:jc w:val="both"/>
      </w:pPr>
      <w:r>
        <w:rPr>
          <w:rFonts w:ascii="Times New Roman" w:hAnsi="Times New Roman" w:eastAsia="Times New Roman"/>
          <w:sz w:val="20"/>
        </w:rPr>
        <w:t>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reproduce Makefile target encapsulate the full pipeline. A 56-test pytest suite (including the loader tests for the Statistics Bureau Labour Force Survey data activated under Phase 1) guards against regression in core utilities.</w:t>
      </w:r>
    </w:p>
    <w:p>
      <w:pPr>
        <w:spacing w:line="240" w:lineRule="auto" w:before="80" w:after="40"/>
      </w:pPr>
      <w:r>
        <w:rPr>
          <w:rFonts w:ascii="Times New Roman" w:hAnsi="Times New Roman" w:eastAsia="Times New Roman"/>
          <w:b/>
          <w:color w:val="000000"/>
          <w:sz w:val="20"/>
        </w:rPr>
        <w:t>D. Software and statistical environment</w:t>
      </w:r>
    </w:p>
    <w:p>
      <w:pPr>
        <w:spacing w:line="240" w:lineRule="auto" w:before="0" w:after="0"/>
        <w:ind w:firstLine="180"/>
        <w:jc w:val="both"/>
      </w:pPr>
      <w:r>
        <w:rPr>
          <w:rFonts w:ascii="Times New Roman" w:hAnsi="Times New Roman" w:eastAsia="Times New Roman"/>
          <w:sz w:val="20"/>
        </w:rPr>
        <w:t>Analysis was conducted in Python 3.11.15 using NumPy 2.x, SciPy 1.x, pandas 2.x, scikit-learn 1.x, h5py 3.x, and statsmodels 0.14.x (full pinned versions in the project's pyproject.toml).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240" w:lineRule="auto" w:before="80" w:after="40"/>
      </w:pPr>
      <w:r>
        <w:rPr>
          <w:rFonts w:ascii="Times New Roman" w:hAnsi="Times New Roman" w:eastAsia="Times New Roman"/>
          <w:b/>
          <w:color w:val="000000"/>
          <w:sz w:val="20"/>
        </w:rPr>
        <w:t>E. Data availability</w:t>
      </w:r>
    </w:p>
    <w:p>
      <w:pPr>
        <w:spacing w:line="240" w:lineRule="auto" w:before="0" w:after="0"/>
        <w:ind w:firstLine="180"/>
        <w:jc w:val="both"/>
      </w:pPr>
      <w:r>
        <w:rPr>
          <w:rFonts w:ascii="Times New Roman" w:hAnsi="Times New Roman" w:eastAsia="Times New Roman"/>
          <w:sz w:val="20"/>
        </w:rPr>
        <w:t>This study's data and reproducibility artifacts are deposited on a tiered basis:</w:t>
      </w:r>
    </w:p>
    <w:p>
      <w:pPr>
        <w:pStyle w:val="ListBullet"/>
        <w:spacing w:line="240" w:lineRule="auto" w:before="0" w:after="0"/>
        <w:jc w:val="both"/>
      </w:pPr>
      <w:r>
        <w:rPr>
          <w:rFonts w:ascii="Times New Roman" w:hAnsi="Times New Roman" w:eastAsia="Times New Roman"/>
          <w:sz w:val="20"/>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240" w:lineRule="auto" w:before="0" w:after="0"/>
        <w:jc w:val="both"/>
      </w:pPr>
      <w:r>
        <w:rPr>
          <w:rFonts w:ascii="Times New Roman" w:hAnsi="Times New Roman" w:eastAsia="Times New Roman"/>
          <w:sz w:val="20"/>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[14].</w:t>
      </w:r>
    </w:p>
    <w:p>
      <w:pPr>
        <w:pStyle w:val="ListBullet"/>
        <w:spacing w:line="240" w:lineRule="auto" w:before="0" w:after="0"/>
        <w:jc w:val="both"/>
      </w:pPr>
      <w:r>
        <w:rPr>
          <w:rFonts w:ascii="Times New Roman" w:hAnsi="Times New Roman" w:eastAsia="Times New Roman"/>
          <w:sz w:val="20"/>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240" w:lineRule="auto" w:before="0" w:after="0"/>
        <w:jc w:val="both"/>
      </w:pPr>
      <w:r>
        <w:rPr>
          <w:rFonts w:ascii="Times New Roman" w:hAnsi="Times New Roman" w:eastAsia="Times New Roman"/>
          <w:sz w:val="20"/>
        </w:rPr>
        <w:t>Pre-registration: v2.0 master document, v1.1 → v2.0 public diff, and the Section 6.5 Level 1 Methods Clarifications Log are publicly accessible at the v2.0 registration page (osf.io/3y54u, DOI 10.17605/OSF.IO/3Y54U).</w:t>
      </w:r>
    </w:p>
    <w:p>
      <w:pPr>
        <w:spacing w:line="240" w:lineRule="auto" w:before="160" w:after="80"/>
        <w:jc w:val="left"/>
      </w:pPr>
      <w:r>
        <w:rPr>
          <w:rFonts w:ascii="Helvetica Neue" w:hAnsi="Helvetica Neue" w:eastAsia="Helvetica Neue"/>
          <w:b/>
          <w:color w:val="00629B"/>
          <w:sz w:val="18"/>
        </w:rPr>
        <w:t>IV. RESULTS</w:t>
      </w:r>
    </w:p>
    <w:p>
      <w:pPr>
        <w:spacing w:line="240" w:lineRule="auto" w:before="80" w:after="40"/>
      </w:pPr>
      <w:r>
        <w:rPr>
          <w:rFonts w:ascii="Times New Roman" w:hAnsi="Times New Roman" w:eastAsia="Times New Roman"/>
          <w:b/>
          <w:color w:val="000000"/>
          <w:sz w:val="20"/>
        </w:rPr>
        <w:t>A. Sample characteristics and 14-cell propensity (Stage 0)</w:t>
      </w:r>
    </w:p>
    <w:p>
      <w:pPr>
        <w:spacing w:line="240" w:lineRule="auto" w:before="0" w:after="0"/>
        <w:ind w:firstLine="180"/>
        <w:jc w:val="both"/>
      </w:pPr>
      <w:r>
        <w:rPr>
          <w:rFonts w:ascii="Times New Roman" w:hAnsi="Times New Roman" w:eastAsia="Times New Roman"/>
          <w:sz w:val="20"/>
        </w:rPr>
        <w:t>The N = 354 sample was assigned to 14 cells (7 HEXACO clusters × 2 genders) via Euclidean nearest-centroid hard-assignment, using the Tokiwa [13] centroids as fixed parameters. Cell sizes ranged from 10 to 70 individuals (median = 18), with no degenerate (N = 0) cells. Cell-level past-three-year power-harassment victimization rates ranged from 0.000 to 0.400 (mean across cells = 0.181).</w:t>
      </w:r>
    </w:p>
    <w:p>
      <w:pPr>
        <w:spacing w:line="240" w:lineRule="auto" w:before="0" w:after="0"/>
        <w:ind w:firstLine="180"/>
        <w:jc w:val="both"/>
      </w:pPr>
      <w:r>
        <w:rPr>
          <w:rFonts w:ascii="Times New Roman" w:hAnsi="Times New Roman" w:eastAsia="Times New Roman"/>
          <w:sz w:val="20"/>
        </w:rPr>
        <w:t>Per-cell 95% confidence intervals followed the four-step priority cascade described in Methods (Stage 0 specification). Of the 14 cells, 13 were resolved at the BCa stage and 1 cell (cluster × gender index 11; N = 12, X = 0) was resolved at the Clopper-Pearson stage as the cascade prescribes for degenerate cells (X_c ∈ {0, N_c}). No cells required the BC or Percentile fallbacks, confirming that the pre-registered priority cascade operates as designed for the realized data structure.</w:t>
      </w:r>
    </w:p>
    <w:p>
      <w:pPr>
        <w:spacing w:line="240" w:lineRule="auto" w:before="80" w:after="40"/>
      </w:pPr>
      <w:r>
        <w:rPr>
          <w:rFonts w:ascii="Times New Roman" w:hAnsi="Times New Roman" w:eastAsia="Times New Roman"/>
          <w:b/>
          <w:color w:val="000000"/>
          <w:sz w:val="20"/>
        </w:rPr>
        <w:t>B. National prevalence and H1 four-tier classification (Stages 1–2)</w:t>
      </w:r>
    </w:p>
    <w:p>
      <w:pPr>
        <w:spacing w:line="240" w:lineRule="auto" w:before="0" w:after="0"/>
        <w:ind w:firstLine="180"/>
        <w:jc w:val="both"/>
      </w:pPr>
      <w:r>
        <w:rPr>
          <w:rFonts w:ascii="Times New Roman" w:hAnsi="Times New Roman" w:eastAsia="Times New Roman"/>
          <w:sz w:val="20"/>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240" w:lineRule="auto" w:before="0" w:after="0"/>
        <w:ind w:firstLine="180"/>
        <w:jc w:val="both"/>
      </w:pPr>
      <w:r>
        <w:rPr>
          <w:rFonts w:ascii="Times New Roman" w:hAnsi="Times New Roman" w:eastAsia="Times New Roman"/>
          <w:sz w:val="20"/>
        </w:rPr>
        <w:t>Per the pre-registered four-tier judgment hierarchy, the H1 results across three MHLW validation periods are summarized in Table 1.</w:t>
      </w:r>
    </w:p>
    <w:p>
      <w:pPr>
        <w:spacing w:line="240" w:lineRule="auto" w:before="120" w:after="0"/>
        <w:jc w:val="center"/>
      </w:pPr>
      <w:r>
        <w:rPr>
          <w:rFonts w:ascii="Times New Roman" w:hAnsi="Times New Roman" w:eastAsia="Times New Roman"/>
          <w:color w:val="000000"/>
          <w:sz w:val="16"/>
        </w:rPr>
        <w:t>TABLE 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73"/>
        <w:gridCol w:w="1673"/>
        <w:gridCol w:w="1673"/>
        <w:gridCol w:w="1673"/>
        <w:gridCol w:w="1673"/>
        <w:gridCol w:w="1673"/>
      </w:tblGrid>
      <w:tr>
        <w:tc>
          <w:tcPr>
            <w:tcW w:type="dxa" w:w="10038"/>
            <w:gridSpan w:val="6"/>
          </w:tcPr>
          <w:p>
            <w:pPr>
              <w:spacing w:line="240" w:lineRule="auto" w:before="0" w:after="0"/>
              <w:jc w:val="center"/>
            </w:pPr>
            <w:r>
              <w:rPr>
                <w:rFonts w:ascii="Times New Roman" w:hAnsi="Times New Roman" w:eastAsia="Times New Roman"/>
                <w:color w:val="000000"/>
                <w:sz w:val="14"/>
              </w:rPr>
              <w:t>MEAN ABSOLUTE PERCENTAGE ERROR (MAPE) OF MODEL-BASED NATIONAL PREVALENCE AGAINST MHLW SURVEY TARGETS, WITH BOOTSTRAP 95% CONFIDENCE INTERVALS (B = 10,000 CELL-STRATIFIED)</w:t>
            </w:r>
          </w:p>
        </w:tc>
      </w:tr>
      <w:tr>
        <w:tc>
          <w:tcPr>
            <w:tcW w:type="dxa" w:w="1673"/>
          </w:tcPr>
          <w:p>
            <w:pPr>
              <w:spacing w:line="240" w:lineRule="auto" w:before="0" w:after="0"/>
              <w:jc w:val="center"/>
            </w:pPr>
            <w:r>
              <w:rPr>
                <w:rFonts w:ascii="Times New Roman" w:hAnsi="Times New Roman" w:eastAsia="Times New Roman"/>
                <w:b/>
                <w:sz w:val="14"/>
              </w:rPr>
              <w:t>Period (MHLW)</w:t>
            </w:r>
          </w:p>
        </w:tc>
        <w:tc>
          <w:tcPr>
            <w:tcW w:type="dxa" w:w="1673"/>
          </w:tcPr>
          <w:p>
            <w:pPr>
              <w:spacing w:line="240" w:lineRule="auto" w:before="0" w:after="0"/>
              <w:jc w:val="center"/>
            </w:pPr>
            <w:r>
              <w:rPr>
                <w:rFonts w:ascii="Times New Roman" w:hAnsi="Times New Roman" w:eastAsia="Times New Roman"/>
                <w:b/>
                <w:sz w:val="14"/>
              </w:rPr>
              <w:t>Observed</w:t>
            </w:r>
          </w:p>
        </w:tc>
        <w:tc>
          <w:tcPr>
            <w:tcW w:type="dxa" w:w="1673"/>
          </w:tcPr>
          <w:p>
            <w:pPr>
              <w:spacing w:line="240" w:lineRule="auto" w:before="0" w:after="0"/>
              <w:jc w:val="center"/>
            </w:pPr>
            <w:r>
              <w:rPr>
                <w:rFonts w:ascii="Times New Roman" w:hAnsi="Times New Roman" w:eastAsia="Times New Roman"/>
                <w:b/>
                <w:sz w:val="14"/>
              </w:rPr>
              <w:t>Predicted</w:t>
            </w:r>
          </w:p>
        </w:tc>
        <w:tc>
          <w:tcPr>
            <w:tcW w:type="dxa" w:w="1673"/>
          </w:tcPr>
          <w:p>
            <w:pPr>
              <w:spacing w:line="240" w:lineRule="auto" w:before="0" w:after="0"/>
              <w:jc w:val="center"/>
            </w:pPr>
            <w:r>
              <w:rPr>
                <w:rFonts w:ascii="Times New Roman" w:hAnsi="Times New Roman" w:eastAsia="Times New Roman"/>
                <w:b/>
                <w:sz w:val="14"/>
              </w:rPr>
              <w:t>MAPE</w:t>
            </w:r>
          </w:p>
        </w:tc>
        <w:tc>
          <w:tcPr>
            <w:tcW w:type="dxa" w:w="1673"/>
          </w:tcPr>
          <w:p>
            <w:pPr>
              <w:spacing w:line="240" w:lineRule="auto" w:before="0" w:after="0"/>
              <w:jc w:val="center"/>
            </w:pPr>
            <w:r>
              <w:rPr>
                <w:rFonts w:ascii="Times New Roman" w:hAnsi="Times New Roman" w:eastAsia="Times New Roman"/>
                <w:b/>
                <w:sz w:val="14"/>
              </w:rPr>
              <w:t>95% CI</w:t>
            </w:r>
          </w:p>
        </w:tc>
        <w:tc>
          <w:tcPr>
            <w:tcW w:type="dxa" w:w="1673"/>
          </w:tcPr>
          <w:p>
            <w:pPr>
              <w:spacing w:line="240" w:lineRule="auto" w:before="0" w:after="0"/>
              <w:jc w:val="center"/>
            </w:pPr>
            <w:r>
              <w:rPr>
                <w:rFonts w:ascii="Times New Roman" w:hAnsi="Times New Roman" w:eastAsia="Times New Roman"/>
                <w:b/>
                <w:sz w:val="14"/>
              </w:rPr>
              <w:t>Tier</w:t>
            </w:r>
          </w:p>
        </w:tc>
      </w:tr>
      <w:tr>
        <w:tc>
          <w:tcPr>
            <w:tcW w:type="dxa" w:w="1673"/>
          </w:tcPr>
          <w:p>
            <w:pPr>
              <w:spacing w:line="240" w:lineRule="auto" w:before="0" w:after="0"/>
              <w:jc w:val="left"/>
            </w:pPr>
            <w:r>
              <w:rPr>
                <w:rFonts w:ascii="Times New Roman" w:hAnsi="Times New Roman" w:eastAsia="Times New Roman"/>
                <w:sz w:val="14"/>
              </w:rPr>
              <w:t>FY2016 (32.5%, primary)</w:t>
            </w:r>
          </w:p>
        </w:tc>
        <w:tc>
          <w:tcPr>
            <w:tcW w:type="dxa" w:w="1673"/>
          </w:tcPr>
          <w:p>
            <w:pPr>
              <w:spacing w:line="240" w:lineRule="auto" w:before="0" w:after="0"/>
              <w:jc w:val="right"/>
            </w:pPr>
            <w:r>
              <w:rPr>
                <w:rFonts w:ascii="Times New Roman" w:hAnsi="Times New Roman" w:eastAsia="Times New Roman"/>
                <w:sz w:val="14"/>
              </w:rPr>
              <w:t>0.325</w:t>
            </w:r>
          </w:p>
        </w:tc>
        <w:tc>
          <w:tcPr>
            <w:tcW w:type="dxa" w:w="1673"/>
          </w:tcPr>
          <w:p>
            <w:pPr>
              <w:spacing w:line="240" w:lineRule="auto" w:before="0" w:after="0"/>
              <w:jc w:val="right"/>
            </w:pPr>
            <w:r>
              <w:rPr>
                <w:rFonts w:ascii="Times New Roman" w:hAnsi="Times New Roman" w:eastAsia="Times New Roman"/>
                <w:sz w:val="14"/>
              </w:rPr>
              <w:t>0.1744</w:t>
            </w:r>
          </w:p>
        </w:tc>
        <w:tc>
          <w:tcPr>
            <w:tcW w:type="dxa" w:w="1673"/>
          </w:tcPr>
          <w:p>
            <w:pPr>
              <w:spacing w:line="240" w:lineRule="auto" w:before="0" w:after="0"/>
              <w:jc w:val="right"/>
            </w:pPr>
            <w:r>
              <w:rPr>
                <w:rFonts w:ascii="Times New Roman" w:hAnsi="Times New Roman" w:eastAsia="Times New Roman"/>
                <w:sz w:val="14"/>
              </w:rPr>
              <w:t>46.34%</w:t>
            </w:r>
          </w:p>
        </w:tc>
        <w:tc>
          <w:tcPr>
            <w:tcW w:type="dxa" w:w="1673"/>
          </w:tcPr>
          <w:p>
            <w:pPr>
              <w:spacing w:line="240" w:lineRule="auto" w:before="0" w:after="0"/>
              <w:jc w:val="left"/>
            </w:pPr>
            <w:r>
              <w:rPr>
                <w:rFonts w:ascii="Times New Roman" w:hAnsi="Times New Roman" w:eastAsia="Times New Roman"/>
                <w:sz w:val="14"/>
              </w:rPr>
              <w:t>[32.36, 59.30]</w:t>
            </w:r>
          </w:p>
        </w:tc>
        <w:tc>
          <w:tcPr>
            <w:tcW w:type="dxa" w:w="1673"/>
          </w:tcPr>
          <w:p>
            <w:pPr>
              <w:spacing w:line="240" w:lineRule="auto" w:before="0" w:after="0"/>
              <w:jc w:val="left"/>
            </w:pPr>
            <w:r>
              <w:rPr>
                <w:rFonts w:ascii="Times New Roman" w:hAnsi="Times New Roman" w:eastAsia="Times New Roman"/>
                <w:sz w:val="14"/>
              </w:rPr>
              <w:t>PARTIAL SUCCESS</w:t>
            </w:r>
          </w:p>
        </w:tc>
      </w:tr>
      <w:tr>
        <w:tc>
          <w:tcPr>
            <w:tcW w:type="dxa" w:w="1673"/>
          </w:tcPr>
          <w:p>
            <w:pPr>
              <w:spacing w:line="240" w:lineRule="auto" w:before="0" w:after="0"/>
              <w:jc w:val="left"/>
            </w:pPr>
            <w:r>
              <w:rPr>
                <w:rFonts w:ascii="Times New Roman" w:hAnsi="Times New Roman" w:eastAsia="Times New Roman"/>
                <w:sz w:val="14"/>
              </w:rPr>
              <w:t>FY2020 (31.4%, secondary)</w:t>
            </w:r>
          </w:p>
        </w:tc>
        <w:tc>
          <w:tcPr>
            <w:tcW w:type="dxa" w:w="1673"/>
          </w:tcPr>
          <w:p>
            <w:pPr>
              <w:spacing w:line="240" w:lineRule="auto" w:before="0" w:after="0"/>
              <w:jc w:val="right"/>
            </w:pPr>
            <w:r>
              <w:rPr>
                <w:rFonts w:ascii="Times New Roman" w:hAnsi="Times New Roman" w:eastAsia="Times New Roman"/>
                <w:sz w:val="14"/>
              </w:rPr>
              <w:t>0.314</w:t>
            </w:r>
          </w:p>
        </w:tc>
        <w:tc>
          <w:tcPr>
            <w:tcW w:type="dxa" w:w="1673"/>
          </w:tcPr>
          <w:p>
            <w:pPr>
              <w:spacing w:line="240" w:lineRule="auto" w:before="0" w:after="0"/>
              <w:jc w:val="right"/>
            </w:pPr>
            <w:r>
              <w:rPr>
                <w:rFonts w:ascii="Times New Roman" w:hAnsi="Times New Roman" w:eastAsia="Times New Roman"/>
                <w:sz w:val="14"/>
              </w:rPr>
              <w:t>0.1744</w:t>
            </w:r>
          </w:p>
        </w:tc>
        <w:tc>
          <w:tcPr>
            <w:tcW w:type="dxa" w:w="1673"/>
          </w:tcPr>
          <w:p>
            <w:pPr>
              <w:spacing w:line="240" w:lineRule="auto" w:before="0" w:after="0"/>
              <w:jc w:val="right"/>
            </w:pPr>
            <w:r>
              <w:rPr>
                <w:rFonts w:ascii="Times New Roman" w:hAnsi="Times New Roman" w:eastAsia="Times New Roman"/>
                <w:sz w:val="14"/>
              </w:rPr>
              <w:t>44.46%</w:t>
            </w:r>
          </w:p>
        </w:tc>
        <w:tc>
          <w:tcPr>
            <w:tcW w:type="dxa" w:w="1673"/>
          </w:tcPr>
          <w:p>
            <w:pPr>
              <w:spacing w:line="240" w:lineRule="auto" w:before="0" w:after="0"/>
              <w:jc w:val="left"/>
            </w:pPr>
            <w:r>
              <w:rPr>
                <w:rFonts w:ascii="Times New Roman" w:hAnsi="Times New Roman" w:eastAsia="Times New Roman"/>
                <w:sz w:val="14"/>
              </w:rPr>
              <w:t>[30.00, 57.88]</w:t>
            </w:r>
          </w:p>
        </w:tc>
        <w:tc>
          <w:tcPr>
            <w:tcW w:type="dxa" w:w="1673"/>
          </w:tcPr>
          <w:p>
            <w:pPr>
              <w:spacing w:line="240" w:lineRule="auto" w:before="0" w:after="0"/>
              <w:jc w:val="left"/>
            </w:pPr>
            <w:r>
              <w:rPr>
                <w:rFonts w:ascii="Times New Roman" w:hAnsi="Times New Roman" w:eastAsia="Times New Roman"/>
                <w:sz w:val="14"/>
              </w:rPr>
              <w:t>PARTIAL SUCCESS</w:t>
            </w:r>
          </w:p>
        </w:tc>
      </w:tr>
      <w:tr>
        <w:tc>
          <w:tcPr>
            <w:tcW w:type="dxa" w:w="1673"/>
          </w:tcPr>
          <w:p>
            <w:pPr>
              <w:spacing w:line="240" w:lineRule="auto" w:before="0" w:after="0"/>
              <w:jc w:val="left"/>
            </w:pPr>
            <w:r>
              <w:rPr>
                <w:rFonts w:ascii="Times New Roman" w:hAnsi="Times New Roman" w:eastAsia="Times New Roman"/>
                <w:sz w:val="14"/>
              </w:rPr>
              <w:t>FY2023 (19.3%, secondary)</w:t>
            </w:r>
          </w:p>
        </w:tc>
        <w:tc>
          <w:tcPr>
            <w:tcW w:type="dxa" w:w="1673"/>
          </w:tcPr>
          <w:p>
            <w:pPr>
              <w:spacing w:line="240" w:lineRule="auto" w:before="0" w:after="0"/>
              <w:jc w:val="right"/>
            </w:pPr>
            <w:r>
              <w:rPr>
                <w:rFonts w:ascii="Times New Roman" w:hAnsi="Times New Roman" w:eastAsia="Times New Roman"/>
                <w:sz w:val="14"/>
              </w:rPr>
              <w:t>0.193</w:t>
            </w:r>
          </w:p>
        </w:tc>
        <w:tc>
          <w:tcPr>
            <w:tcW w:type="dxa" w:w="1673"/>
          </w:tcPr>
          <w:p>
            <w:pPr>
              <w:spacing w:line="240" w:lineRule="auto" w:before="0" w:after="0"/>
              <w:jc w:val="right"/>
            </w:pPr>
            <w:r>
              <w:rPr>
                <w:rFonts w:ascii="Times New Roman" w:hAnsi="Times New Roman" w:eastAsia="Times New Roman"/>
                <w:sz w:val="14"/>
              </w:rPr>
              <w:t>0.1744</w:t>
            </w:r>
          </w:p>
        </w:tc>
        <w:tc>
          <w:tcPr>
            <w:tcW w:type="dxa" w:w="1673"/>
          </w:tcPr>
          <w:p>
            <w:pPr>
              <w:spacing w:line="240" w:lineRule="auto" w:before="0" w:after="0"/>
              <w:jc w:val="right"/>
            </w:pPr>
            <w:r>
              <w:rPr>
                <w:rFonts w:ascii="Times New Roman" w:hAnsi="Times New Roman" w:eastAsia="Times New Roman"/>
                <w:sz w:val="14"/>
              </w:rPr>
              <w:t>9.65%</w:t>
            </w:r>
          </w:p>
        </w:tc>
        <w:tc>
          <w:tcPr>
            <w:tcW w:type="dxa" w:w="1673"/>
          </w:tcPr>
          <w:p>
            <w:pPr>
              <w:spacing w:line="240" w:lineRule="auto" w:before="0" w:after="0"/>
              <w:jc w:val="left"/>
            </w:pPr>
            <w:r>
              <w:rPr>
                <w:rFonts w:ascii="Times New Roman" w:hAnsi="Times New Roman" w:eastAsia="Times New Roman"/>
                <w:sz w:val="14"/>
              </w:rPr>
              <w:t>[0.52, 31.52]</w:t>
            </w:r>
          </w:p>
        </w:tc>
        <w:tc>
          <w:tcPr>
            <w:tcW w:type="dxa" w:w="1673"/>
          </w:tcPr>
          <w:p>
            <w:pPr>
              <w:spacing w:line="240" w:lineRule="auto" w:before="0" w:after="0"/>
              <w:jc w:val="left"/>
            </w:pPr>
            <w:r>
              <w:rPr>
                <w:rFonts w:ascii="Times New Roman" w:hAnsi="Times New Roman" w:eastAsia="Times New Roman"/>
                <w:sz w:val="14"/>
              </w:rPr>
              <w:t>Standard SUCCESS</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Primary outcome: power harassment.</w:t>
      </w:r>
    </w:p>
    <w:p>
      <w:pPr>
        <w:spacing w:line="240" w:lineRule="auto" w:before="0" w:after="0"/>
        <w:ind w:firstLine="180"/>
        <w:jc w:val="both"/>
      </w:pPr>
      <w:r>
        <w:rPr>
          <w:rFonts w:ascii="Times New Roman" w:hAnsi="Times New Roman" w:eastAsia="Times New Roman"/>
          <w:sz w:val="20"/>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240" w:lineRule="auto" w:before="80" w:after="40"/>
      </w:pPr>
      <w:r>
        <w:rPr>
          <w:rFonts w:ascii="Times New Roman" w:hAnsi="Times New Roman" w:eastAsia="Times New Roman"/>
          <w:b/>
          <w:color w:val="000000"/>
          <w:sz w:val="20"/>
        </w:rPr>
        <w:t>C. Sensitivity sweep (Stage 3)</w:t>
      </w:r>
    </w:p>
    <w:p>
      <w:pPr>
        <w:spacing w:line="240" w:lineRule="auto" w:before="0" w:after="0"/>
        <w:ind w:firstLine="180"/>
        <w:jc w:val="both"/>
      </w:pPr>
      <w:r>
        <w:rPr>
          <w:rFonts w:ascii="Times New Roman" w:hAnsi="Times New Roman" w:eastAsia="Times New Roman"/>
          <w:sz w:val="20"/>
        </w:rPr>
        <w:t>The pre-registered one-at-a-time sweep over four parameter families produced 13 rows. Results are presented in Table 2.</w:t>
      </w:r>
    </w:p>
    <w:p>
      <w:pPr>
        <w:spacing w:line="240" w:lineRule="auto" w:before="120" w:after="0"/>
        <w:jc w:val="center"/>
      </w:pPr>
      <w:r>
        <w:rPr>
          <w:rFonts w:ascii="Times New Roman" w:hAnsi="Times New Roman" w:eastAsia="Times New Roman"/>
          <w:color w:val="000000"/>
          <w:sz w:val="16"/>
        </w:rPr>
        <w:t>TABLE 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8"/>
        <w:gridCol w:w="2008"/>
        <w:gridCol w:w="2008"/>
        <w:gridCol w:w="2008"/>
        <w:gridCol w:w="2008"/>
      </w:tblGrid>
      <w:tr>
        <w:tc>
          <w:tcPr>
            <w:tcW w:type="dxa" w:w="10040"/>
            <w:gridSpan w:val="5"/>
          </w:tcPr>
          <w:p>
            <w:pPr>
              <w:spacing w:line="240" w:lineRule="auto" w:before="0" w:after="0"/>
              <w:jc w:val="center"/>
            </w:pPr>
            <w:r>
              <w:rPr>
                <w:rFonts w:ascii="Times New Roman" w:hAnsi="Times New Roman" w:eastAsia="Times New Roman"/>
                <w:color w:val="000000"/>
                <w:sz w:val="14"/>
              </w:rPr>
              <w:t>OAT SENSITIVITY SWEEP AROUND MAIN CONFIGURATION</w:t>
            </w:r>
          </w:p>
        </w:tc>
      </w:tr>
      <w:tr>
        <w:tc>
          <w:tcPr>
            <w:tcW w:type="dxa" w:w="2008"/>
          </w:tcPr>
          <w:p>
            <w:pPr>
              <w:spacing w:line="240" w:lineRule="auto" w:before="0" w:after="0"/>
              <w:jc w:val="center"/>
            </w:pPr>
            <w:r>
              <w:rPr>
                <w:rFonts w:ascii="Times New Roman" w:hAnsi="Times New Roman" w:eastAsia="Times New Roman"/>
                <w:b/>
                <w:sz w:val="14"/>
              </w:rPr>
              <w:t>Family</w:t>
            </w:r>
          </w:p>
        </w:tc>
        <w:tc>
          <w:tcPr>
            <w:tcW w:type="dxa" w:w="2008"/>
          </w:tcPr>
          <w:p>
            <w:pPr>
              <w:spacing w:line="240" w:lineRule="auto" w:before="0" w:after="0"/>
              <w:jc w:val="center"/>
            </w:pPr>
            <w:r>
              <w:rPr>
                <w:rFonts w:ascii="Times New Roman" w:hAnsi="Times New Roman" w:eastAsia="Times New Roman"/>
                <w:b/>
                <w:sz w:val="14"/>
              </w:rPr>
              <w:t>Value</w:t>
            </w:r>
          </w:p>
        </w:tc>
        <w:tc>
          <w:tcPr>
            <w:tcW w:type="dxa" w:w="2008"/>
          </w:tcPr>
          <w:p>
            <w:pPr>
              <w:spacing w:line="240" w:lineRule="auto" w:before="0" w:after="0"/>
              <w:jc w:val="center"/>
            </w:pPr>
            <w:r>
              <w:rPr>
                <w:rFonts w:ascii="Times New Roman" w:hAnsi="Times New Roman" w:eastAsia="Times New Roman"/>
                <w:b/>
                <w:sz w:val="14"/>
              </w:rPr>
              <w:t>MAPE</w:t>
            </w:r>
          </w:p>
        </w:tc>
        <w:tc>
          <w:tcPr>
            <w:tcW w:type="dxa" w:w="2008"/>
          </w:tcPr>
          <w:p>
            <w:pPr>
              <w:spacing w:line="240" w:lineRule="auto" w:before="0" w:after="0"/>
              <w:jc w:val="center"/>
            </w:pPr>
            <w:r>
              <w:rPr>
                <w:rFonts w:ascii="Times New Roman" w:hAnsi="Times New Roman" w:eastAsia="Times New Roman"/>
                <w:b/>
                <w:sz w:val="14"/>
              </w:rPr>
              <w:t>95% CI</w:t>
            </w:r>
          </w:p>
        </w:tc>
        <w:tc>
          <w:tcPr>
            <w:tcW w:type="dxa" w:w="2008"/>
          </w:tcPr>
          <w:p>
            <w:pPr>
              <w:spacing w:line="240" w:lineRule="auto" w:before="0" w:after="0"/>
              <w:jc w:val="center"/>
            </w:pPr>
            <w:r>
              <w:rPr>
                <w:rFonts w:ascii="Times New Roman" w:hAnsi="Times New Roman" w:eastAsia="Times New Roman"/>
                <w:b/>
                <w:sz w:val="14"/>
              </w:rPr>
              <w:t>Tier</w:t>
            </w:r>
          </w:p>
        </w:tc>
      </w:tr>
      <w:tr>
        <w:tc>
          <w:tcPr>
            <w:tcW w:type="dxa" w:w="2008"/>
          </w:tcPr>
          <w:p>
            <w:pPr>
              <w:spacing w:line="240" w:lineRule="auto" w:before="0" w:after="0"/>
              <w:jc w:val="left"/>
            </w:pPr>
            <w:r>
              <w:rPr>
                <w:rFonts w:ascii="Times New Roman" w:hAnsi="Times New Roman" w:eastAsia="Times New Roman"/>
                <w:sz w:val="14"/>
              </w:rPr>
              <w:t>Baseline</w:t>
            </w:r>
          </w:p>
        </w:tc>
        <w:tc>
          <w:tcPr>
            <w:tcW w:type="dxa" w:w="2008"/>
          </w:tcPr>
          <w:p>
            <w:pPr>
              <w:spacing w:line="240" w:lineRule="auto" w:before="0" w:after="0"/>
              <w:jc w:val="left"/>
            </w:pPr>
            <w:r>
              <w:rPr>
                <w:rFonts w:ascii="Times New Roman" w:hAnsi="Times New Roman" w:eastAsia="Times New Roman"/>
                <w:sz w:val="14"/>
              </w:rPr>
              <w:t>main_v2.0</w:t>
            </w:r>
          </w:p>
        </w:tc>
        <w:tc>
          <w:tcPr>
            <w:tcW w:type="dxa" w:w="2008"/>
          </w:tcPr>
          <w:p>
            <w:pPr>
              <w:spacing w:line="240" w:lineRule="auto" w:before="0" w:after="0"/>
              <w:jc w:val="right"/>
            </w:pPr>
            <w:r>
              <w:rPr>
                <w:rFonts w:ascii="Times New Roman" w:hAnsi="Times New Roman" w:eastAsia="Times New Roman"/>
                <w:sz w:val="14"/>
              </w:rPr>
              <w:t>45.51%</w:t>
            </w:r>
          </w:p>
        </w:tc>
        <w:tc>
          <w:tcPr>
            <w:tcW w:type="dxa" w:w="2008"/>
          </w:tcPr>
          <w:p>
            <w:pPr>
              <w:spacing w:line="240" w:lineRule="auto" w:before="0" w:after="0"/>
              <w:jc w:val="left"/>
            </w:pPr>
            <w:r>
              <w:rPr>
                <w:rFonts w:ascii="Times New Roman" w:hAnsi="Times New Roman" w:eastAsia="Times New Roman"/>
                <w:sz w:val="14"/>
              </w:rPr>
              <w:t>[31.5, 59.5]</w:t>
            </w:r>
          </w:p>
        </w:tc>
        <w:tc>
          <w:tcPr>
            <w:tcW w:type="dxa" w:w="2008"/>
          </w:tcPr>
          <w:p>
            <w:pPr>
              <w:spacing w:line="240" w:lineRule="auto" w:before="0" w:after="0"/>
              <w:jc w:val="left"/>
            </w:pPr>
            <w:r>
              <w:rPr>
                <w:rFonts w:ascii="Times New Roman" w:hAnsi="Times New Roman" w:eastAsia="Times New Roman"/>
                <w:sz w:val="14"/>
              </w:rPr>
              <w:t>PARTIAL</w:t>
            </w:r>
          </w:p>
        </w:tc>
      </w:tr>
      <w:tr>
        <w:tc>
          <w:tcPr>
            <w:tcW w:type="dxa" w:w="2008"/>
          </w:tcPr>
          <w:p>
            <w:pPr>
              <w:spacing w:line="240" w:lineRule="auto" w:before="0" w:after="0"/>
              <w:jc w:val="left"/>
            </w:pPr>
            <w:r>
              <w:rPr>
                <w:rFonts w:ascii="Times New Roman" w:hAnsi="Times New Roman" w:eastAsia="Times New Roman"/>
                <w:sz w:val="14"/>
              </w:rPr>
              <w:t>Binarization</w:t>
            </w:r>
          </w:p>
        </w:tc>
        <w:tc>
          <w:tcPr>
            <w:tcW w:type="dxa" w:w="2008"/>
          </w:tcPr>
          <w:p>
            <w:pPr>
              <w:spacing w:line="240" w:lineRule="auto" w:before="0" w:after="0"/>
              <w:jc w:val="left"/>
            </w:pPr>
            <w:r>
              <w:rPr>
                <w:rFonts w:ascii="Times New Roman" w:hAnsi="Times New Roman" w:eastAsia="Times New Roman"/>
                <w:sz w:val="14"/>
              </w:rPr>
              <w:t>mean+0.25 SD</w:t>
            </w:r>
          </w:p>
        </w:tc>
        <w:tc>
          <w:tcPr>
            <w:tcW w:type="dxa" w:w="2008"/>
          </w:tcPr>
          <w:p>
            <w:pPr>
              <w:spacing w:line="240" w:lineRule="auto" w:before="0" w:after="0"/>
              <w:jc w:val="right"/>
            </w:pPr>
            <w:r>
              <w:rPr>
                <w:rFonts w:ascii="Times New Roman" w:hAnsi="Times New Roman" w:eastAsia="Times New Roman"/>
                <w:sz w:val="14"/>
              </w:rPr>
              <w:t>29.58%</w:t>
            </w:r>
          </w:p>
        </w:tc>
        <w:tc>
          <w:tcPr>
            <w:tcW w:type="dxa" w:w="2008"/>
          </w:tcPr>
          <w:p>
            <w:pPr>
              <w:spacing w:line="240" w:lineRule="auto" w:before="0" w:after="0"/>
              <w:jc w:val="left"/>
            </w:pPr>
            <w:r>
              <w:rPr>
                <w:rFonts w:ascii="Times New Roman" w:hAnsi="Times New Roman" w:eastAsia="Times New Roman"/>
                <w:sz w:val="14"/>
              </w:rPr>
              <w:t>[13.7, 45.2]</w:t>
            </w:r>
          </w:p>
        </w:tc>
        <w:tc>
          <w:tcPr>
            <w:tcW w:type="dxa" w:w="2008"/>
          </w:tcPr>
          <w:p>
            <w:pPr>
              <w:spacing w:line="240" w:lineRule="auto" w:before="0" w:after="0"/>
              <w:jc w:val="left"/>
            </w:pPr>
            <w:r>
              <w:rPr>
                <w:rFonts w:ascii="Times New Roman" w:hAnsi="Times New Roman" w:eastAsia="Times New Roman"/>
                <w:sz w:val="14"/>
              </w:rPr>
              <w:t>Standard SUCCESS</w:t>
            </w:r>
          </w:p>
        </w:tc>
      </w:tr>
      <w:tr>
        <w:tc>
          <w:tcPr>
            <w:tcW w:type="dxa" w:w="2008"/>
          </w:tcPr>
          <w:p>
            <w:pPr>
              <w:spacing w:line="240" w:lineRule="auto" w:before="0" w:after="0"/>
              <w:jc w:val="left"/>
            </w:pPr>
            <w:r>
              <w:rPr>
                <w:rFonts w:ascii="Times New Roman" w:hAnsi="Times New Roman" w:eastAsia="Times New Roman"/>
                <w:sz w:val="14"/>
              </w:rPr>
              <w:t>Binarization</w:t>
            </w:r>
          </w:p>
        </w:tc>
        <w:tc>
          <w:tcPr>
            <w:tcW w:type="dxa" w:w="2008"/>
          </w:tcPr>
          <w:p>
            <w:pPr>
              <w:spacing w:line="240" w:lineRule="auto" w:before="0" w:after="0"/>
              <w:jc w:val="left"/>
            </w:pPr>
            <w:r>
              <w:rPr>
                <w:rFonts w:ascii="Times New Roman" w:hAnsi="Times New Roman" w:eastAsia="Times New Roman"/>
                <w:sz w:val="14"/>
              </w:rPr>
              <w:t>mean+0.5 SD (main)</w:t>
            </w:r>
          </w:p>
        </w:tc>
        <w:tc>
          <w:tcPr>
            <w:tcW w:type="dxa" w:w="2008"/>
          </w:tcPr>
          <w:p>
            <w:pPr>
              <w:spacing w:line="240" w:lineRule="auto" w:before="0" w:after="0"/>
              <w:jc w:val="right"/>
            </w:pPr>
            <w:r>
              <w:rPr>
                <w:rFonts w:ascii="Times New Roman" w:hAnsi="Times New Roman" w:eastAsia="Times New Roman"/>
                <w:sz w:val="14"/>
              </w:rPr>
              <w:t>45.51%</w:t>
            </w:r>
          </w:p>
        </w:tc>
        <w:tc>
          <w:tcPr>
            <w:tcW w:type="dxa" w:w="2008"/>
          </w:tcPr>
          <w:p>
            <w:pPr>
              <w:spacing w:line="240" w:lineRule="auto" w:before="0" w:after="0"/>
              <w:jc w:val="left"/>
            </w:pPr>
            <w:r>
              <w:rPr>
                <w:rFonts w:ascii="Times New Roman" w:hAnsi="Times New Roman" w:eastAsia="Times New Roman"/>
                <w:sz w:val="14"/>
              </w:rPr>
              <w:t>[30.5, 59.2]</w:t>
            </w:r>
          </w:p>
        </w:tc>
        <w:tc>
          <w:tcPr>
            <w:tcW w:type="dxa" w:w="2008"/>
          </w:tcPr>
          <w:p>
            <w:pPr>
              <w:spacing w:line="240" w:lineRule="auto" w:before="0" w:after="0"/>
              <w:jc w:val="left"/>
            </w:pPr>
            <w:r>
              <w:rPr>
                <w:rFonts w:ascii="Times New Roman" w:hAnsi="Times New Roman" w:eastAsia="Times New Roman"/>
                <w:sz w:val="14"/>
              </w:rPr>
              <w:t>PARTIAL</w:t>
            </w:r>
          </w:p>
        </w:tc>
      </w:tr>
      <w:tr>
        <w:tc>
          <w:tcPr>
            <w:tcW w:type="dxa" w:w="2008"/>
          </w:tcPr>
          <w:p>
            <w:pPr>
              <w:spacing w:line="240" w:lineRule="auto" w:before="0" w:after="0"/>
              <w:jc w:val="left"/>
            </w:pPr>
            <w:r>
              <w:rPr>
                <w:rFonts w:ascii="Times New Roman" w:hAnsi="Times New Roman" w:eastAsia="Times New Roman"/>
                <w:sz w:val="14"/>
              </w:rPr>
              <w:t>Binarization</w:t>
            </w:r>
          </w:p>
        </w:tc>
        <w:tc>
          <w:tcPr>
            <w:tcW w:type="dxa" w:w="2008"/>
          </w:tcPr>
          <w:p>
            <w:pPr>
              <w:spacing w:line="240" w:lineRule="auto" w:before="0" w:after="0"/>
              <w:jc w:val="left"/>
            </w:pPr>
            <w:r>
              <w:rPr>
                <w:rFonts w:ascii="Times New Roman" w:hAnsi="Times New Roman" w:eastAsia="Times New Roman"/>
                <w:sz w:val="14"/>
              </w:rPr>
              <w:t>mean+1.0 SD</w:t>
            </w:r>
          </w:p>
        </w:tc>
        <w:tc>
          <w:tcPr>
            <w:tcW w:type="dxa" w:w="2008"/>
          </w:tcPr>
          <w:p>
            <w:pPr>
              <w:spacing w:line="240" w:lineRule="auto" w:before="0" w:after="0"/>
              <w:jc w:val="right"/>
            </w:pPr>
            <w:r>
              <w:rPr>
                <w:rFonts w:ascii="Times New Roman" w:hAnsi="Times New Roman" w:eastAsia="Times New Roman"/>
                <w:sz w:val="14"/>
              </w:rPr>
              <w:t>48.95%</w:t>
            </w:r>
          </w:p>
        </w:tc>
        <w:tc>
          <w:tcPr>
            <w:tcW w:type="dxa" w:w="2008"/>
          </w:tcPr>
          <w:p>
            <w:pPr>
              <w:spacing w:line="240" w:lineRule="auto" w:before="0" w:after="0"/>
              <w:jc w:val="left"/>
            </w:pPr>
            <w:r>
              <w:rPr>
                <w:rFonts w:ascii="Times New Roman" w:hAnsi="Times New Roman" w:eastAsia="Times New Roman"/>
                <w:sz w:val="14"/>
              </w:rPr>
              <w:t>[34.0, 62.4]</w:t>
            </w:r>
          </w:p>
        </w:tc>
        <w:tc>
          <w:tcPr>
            <w:tcW w:type="dxa" w:w="2008"/>
          </w:tcPr>
          <w:p>
            <w:pPr>
              <w:spacing w:line="240" w:lineRule="auto" w:before="0" w:after="0"/>
              <w:jc w:val="left"/>
            </w:pPr>
            <w:r>
              <w:rPr>
                <w:rFonts w:ascii="Times New Roman" w:hAnsi="Times New Roman" w:eastAsia="Times New Roman"/>
                <w:sz w:val="14"/>
              </w:rPr>
              <w:t>PARTIAL</w:t>
            </w:r>
          </w:p>
        </w:tc>
      </w:tr>
      <w:tr>
        <w:tc>
          <w:tcPr>
            <w:tcW w:type="dxa" w:w="2008"/>
          </w:tcPr>
          <w:p>
            <w:pPr>
              <w:spacing w:line="240" w:lineRule="auto" w:before="0" w:after="0"/>
              <w:jc w:val="left"/>
            </w:pPr>
            <w:r>
              <w:rPr>
                <w:rFonts w:ascii="Times New Roman" w:hAnsi="Times New Roman" w:eastAsia="Times New Roman"/>
                <w:sz w:val="14"/>
              </w:rPr>
              <w:t>Soft τ × median NN</w:t>
            </w:r>
          </w:p>
        </w:tc>
        <w:tc>
          <w:tcPr>
            <w:tcW w:type="dxa" w:w="2008"/>
          </w:tcPr>
          <w:p>
            <w:pPr>
              <w:spacing w:line="240" w:lineRule="auto" w:before="0" w:after="0"/>
              <w:jc w:val="left"/>
            </w:pPr>
            <w:r>
              <w:rPr>
                <w:rFonts w:ascii="Times New Roman" w:hAnsi="Times New Roman" w:eastAsia="Times New Roman"/>
                <w:sz w:val="14"/>
              </w:rPr>
              <w:t>0.5×</w:t>
            </w:r>
          </w:p>
        </w:tc>
        <w:tc>
          <w:tcPr>
            <w:tcW w:type="dxa" w:w="2008"/>
          </w:tcPr>
          <w:p>
            <w:pPr>
              <w:spacing w:line="240" w:lineRule="auto" w:before="0" w:after="0"/>
              <w:jc w:val="right"/>
            </w:pPr>
            <w:r>
              <w:rPr>
                <w:rFonts w:ascii="Times New Roman" w:hAnsi="Times New Roman" w:eastAsia="Times New Roman"/>
                <w:sz w:val="14"/>
              </w:rPr>
              <w:t>45.04%</w:t>
            </w:r>
          </w:p>
        </w:tc>
        <w:tc>
          <w:tcPr>
            <w:tcW w:type="dxa" w:w="2008"/>
          </w:tcPr>
          <w:p>
            <w:pPr>
              <w:spacing w:line="240" w:lineRule="auto" w:before="0" w:after="0"/>
              <w:jc w:val="left"/>
            </w:pPr>
            <w:r>
              <w:rPr>
                <w:rFonts w:ascii="Times New Roman" w:hAnsi="Times New Roman" w:eastAsia="Times New Roman"/>
                <w:sz w:val="14"/>
              </w:rPr>
              <w:t>[43.8, 46.3]</w:t>
            </w:r>
          </w:p>
        </w:tc>
        <w:tc>
          <w:tcPr>
            <w:tcW w:type="dxa" w:w="2008"/>
          </w:tcPr>
          <w:p>
            <w:pPr>
              <w:spacing w:line="240" w:lineRule="auto" w:before="0" w:after="0"/>
              <w:jc w:val="left"/>
            </w:pPr>
            <w:r>
              <w:rPr>
                <w:rFonts w:ascii="Times New Roman" w:hAnsi="Times New Roman" w:eastAsia="Times New Roman"/>
                <w:sz w:val="14"/>
              </w:rPr>
              <w:t>PARTIAL</w:t>
            </w:r>
          </w:p>
        </w:tc>
      </w:tr>
      <w:tr>
        <w:tc>
          <w:tcPr>
            <w:tcW w:type="dxa" w:w="2008"/>
          </w:tcPr>
          <w:p>
            <w:pPr>
              <w:spacing w:line="240" w:lineRule="auto" w:before="0" w:after="0"/>
              <w:jc w:val="left"/>
            </w:pPr>
            <w:r>
              <w:rPr>
                <w:rFonts w:ascii="Times New Roman" w:hAnsi="Times New Roman" w:eastAsia="Times New Roman"/>
                <w:sz w:val="14"/>
              </w:rPr>
              <w:t>Soft τ × median NN</w:t>
            </w:r>
          </w:p>
        </w:tc>
        <w:tc>
          <w:tcPr>
            <w:tcW w:type="dxa" w:w="2008"/>
          </w:tcPr>
          <w:p>
            <w:pPr>
              <w:spacing w:line="240" w:lineRule="auto" w:before="0" w:after="0"/>
              <w:jc w:val="left"/>
            </w:pPr>
            <w:r>
              <w:rPr>
                <w:rFonts w:ascii="Times New Roman" w:hAnsi="Times New Roman" w:eastAsia="Times New Roman"/>
                <w:sz w:val="14"/>
              </w:rPr>
              <w:t>1.0×</w:t>
            </w:r>
          </w:p>
        </w:tc>
        <w:tc>
          <w:tcPr>
            <w:tcW w:type="dxa" w:w="2008"/>
          </w:tcPr>
          <w:p>
            <w:pPr>
              <w:spacing w:line="240" w:lineRule="auto" w:before="0" w:after="0"/>
              <w:jc w:val="right"/>
            </w:pPr>
            <w:r>
              <w:rPr>
                <w:rFonts w:ascii="Times New Roman" w:hAnsi="Times New Roman" w:eastAsia="Times New Roman"/>
                <w:sz w:val="14"/>
              </w:rPr>
              <w:t>45.22%</w:t>
            </w:r>
          </w:p>
        </w:tc>
        <w:tc>
          <w:tcPr>
            <w:tcW w:type="dxa" w:w="2008"/>
          </w:tcPr>
          <w:p>
            <w:pPr>
              <w:spacing w:line="240" w:lineRule="auto" w:before="0" w:after="0"/>
              <w:jc w:val="left"/>
            </w:pPr>
            <w:r>
              <w:rPr>
                <w:rFonts w:ascii="Times New Roman" w:hAnsi="Times New Roman" w:eastAsia="Times New Roman"/>
                <w:sz w:val="14"/>
              </w:rPr>
              <w:t>[43.9, 46.5]</w:t>
            </w:r>
          </w:p>
        </w:tc>
        <w:tc>
          <w:tcPr>
            <w:tcW w:type="dxa" w:w="2008"/>
          </w:tcPr>
          <w:p>
            <w:pPr>
              <w:spacing w:line="240" w:lineRule="auto" w:before="0" w:after="0"/>
              <w:jc w:val="left"/>
            </w:pPr>
            <w:r>
              <w:rPr>
                <w:rFonts w:ascii="Times New Roman" w:hAnsi="Times New Roman" w:eastAsia="Times New Roman"/>
                <w:sz w:val="14"/>
              </w:rPr>
              <w:t>PARTIAL</w:t>
            </w:r>
          </w:p>
        </w:tc>
      </w:tr>
      <w:tr>
        <w:tc>
          <w:tcPr>
            <w:tcW w:type="dxa" w:w="2008"/>
          </w:tcPr>
          <w:p>
            <w:pPr>
              <w:spacing w:line="240" w:lineRule="auto" w:before="0" w:after="0"/>
              <w:jc w:val="left"/>
            </w:pPr>
            <w:r>
              <w:rPr>
                <w:rFonts w:ascii="Times New Roman" w:hAnsi="Times New Roman" w:eastAsia="Times New Roman"/>
                <w:sz w:val="14"/>
              </w:rPr>
              <w:t>Soft τ × median NN</w:t>
            </w:r>
          </w:p>
        </w:tc>
        <w:tc>
          <w:tcPr>
            <w:tcW w:type="dxa" w:w="2008"/>
          </w:tcPr>
          <w:p>
            <w:pPr>
              <w:spacing w:line="240" w:lineRule="auto" w:before="0" w:after="0"/>
              <w:jc w:val="left"/>
            </w:pPr>
            <w:r>
              <w:rPr>
                <w:rFonts w:ascii="Times New Roman" w:hAnsi="Times New Roman" w:eastAsia="Times New Roman"/>
                <w:sz w:val="14"/>
              </w:rPr>
              <w:t>2.0×</w:t>
            </w:r>
          </w:p>
        </w:tc>
        <w:tc>
          <w:tcPr>
            <w:tcW w:type="dxa" w:w="2008"/>
          </w:tcPr>
          <w:p>
            <w:pPr>
              <w:spacing w:line="240" w:lineRule="auto" w:before="0" w:after="0"/>
              <w:jc w:val="right"/>
            </w:pPr>
            <w:r>
              <w:rPr>
                <w:rFonts w:ascii="Times New Roman" w:hAnsi="Times New Roman" w:eastAsia="Times New Roman"/>
                <w:sz w:val="14"/>
              </w:rPr>
              <w:t>45.24%</w:t>
            </w:r>
          </w:p>
        </w:tc>
        <w:tc>
          <w:tcPr>
            <w:tcW w:type="dxa" w:w="2008"/>
          </w:tcPr>
          <w:p>
            <w:pPr>
              <w:spacing w:line="240" w:lineRule="auto" w:before="0" w:after="0"/>
              <w:jc w:val="left"/>
            </w:pPr>
            <w:r>
              <w:rPr>
                <w:rFonts w:ascii="Times New Roman" w:hAnsi="Times New Roman" w:eastAsia="Times New Roman"/>
                <w:sz w:val="14"/>
              </w:rPr>
              <w:t>[43.9, 46.4]</w:t>
            </w:r>
          </w:p>
        </w:tc>
        <w:tc>
          <w:tcPr>
            <w:tcW w:type="dxa" w:w="2008"/>
          </w:tcPr>
          <w:p>
            <w:pPr>
              <w:spacing w:line="240" w:lineRule="auto" w:before="0" w:after="0"/>
              <w:jc w:val="left"/>
            </w:pPr>
            <w:r>
              <w:rPr>
                <w:rFonts w:ascii="Times New Roman" w:hAnsi="Times New Roman" w:eastAsia="Times New Roman"/>
                <w:sz w:val="14"/>
              </w:rPr>
              <w:t>PARTIAL</w:t>
            </w:r>
          </w:p>
        </w:tc>
      </w:tr>
      <w:tr>
        <w:tc>
          <w:tcPr>
            <w:tcW w:type="dxa" w:w="2008"/>
          </w:tcPr>
          <w:p>
            <w:pPr>
              <w:spacing w:line="240" w:lineRule="auto" w:before="0" w:after="0"/>
              <w:jc w:val="left"/>
            </w:pPr>
            <w:r>
              <w:rPr>
                <w:rFonts w:ascii="Times New Roman" w:hAnsi="Times New Roman" w:eastAsia="Times New Roman"/>
                <w:sz w:val="14"/>
              </w:rPr>
              <w:t>EB scale</w:t>
            </w:r>
          </w:p>
        </w:tc>
        <w:tc>
          <w:tcPr>
            <w:tcW w:type="dxa" w:w="2008"/>
          </w:tcPr>
          <w:p>
            <w:pPr>
              <w:spacing w:line="240" w:lineRule="auto" w:before="0" w:after="0"/>
              <w:jc w:val="left"/>
            </w:pPr>
            <w:r>
              <w:rPr>
                <w:rFonts w:ascii="Times New Roman" w:hAnsi="Times New Roman" w:eastAsia="Times New Roman"/>
                <w:sz w:val="14"/>
              </w:rPr>
              <w:t>0.5× pseudocount</w:t>
            </w:r>
          </w:p>
        </w:tc>
        <w:tc>
          <w:tcPr>
            <w:tcW w:type="dxa" w:w="2008"/>
          </w:tcPr>
          <w:p>
            <w:pPr>
              <w:spacing w:line="240" w:lineRule="auto" w:before="0" w:after="0"/>
              <w:jc w:val="right"/>
            </w:pPr>
            <w:r>
              <w:rPr>
                <w:rFonts w:ascii="Times New Roman" w:hAnsi="Times New Roman" w:eastAsia="Times New Roman"/>
                <w:sz w:val="14"/>
              </w:rPr>
              <w:t>45.90%</w:t>
            </w:r>
          </w:p>
        </w:tc>
        <w:tc>
          <w:tcPr>
            <w:tcW w:type="dxa" w:w="2008"/>
          </w:tcPr>
          <w:p>
            <w:pPr>
              <w:spacing w:line="240" w:lineRule="auto" w:before="0" w:after="0"/>
              <w:jc w:val="left"/>
            </w:pPr>
            <w:r>
              <w:rPr>
                <w:rFonts w:ascii="Times New Roman" w:hAnsi="Times New Roman" w:eastAsia="Times New Roman"/>
                <w:sz w:val="14"/>
              </w:rPr>
              <w:t>[32.1, 58.7]</w:t>
            </w:r>
          </w:p>
        </w:tc>
        <w:tc>
          <w:tcPr>
            <w:tcW w:type="dxa" w:w="2008"/>
          </w:tcPr>
          <w:p>
            <w:pPr>
              <w:spacing w:line="240" w:lineRule="auto" w:before="0" w:after="0"/>
              <w:jc w:val="left"/>
            </w:pPr>
            <w:r>
              <w:rPr>
                <w:rFonts w:ascii="Times New Roman" w:hAnsi="Times New Roman" w:eastAsia="Times New Roman"/>
                <w:sz w:val="14"/>
              </w:rPr>
              <w:t>PARTIAL</w:t>
            </w:r>
          </w:p>
        </w:tc>
      </w:tr>
      <w:tr>
        <w:tc>
          <w:tcPr>
            <w:tcW w:type="dxa" w:w="2008"/>
          </w:tcPr>
          <w:p>
            <w:pPr>
              <w:spacing w:line="240" w:lineRule="auto" w:before="0" w:after="0"/>
              <w:jc w:val="left"/>
            </w:pPr>
            <w:r>
              <w:rPr>
                <w:rFonts w:ascii="Times New Roman" w:hAnsi="Times New Roman" w:eastAsia="Times New Roman"/>
                <w:sz w:val="14"/>
              </w:rPr>
              <w:t>EB scale</w:t>
            </w:r>
          </w:p>
        </w:tc>
        <w:tc>
          <w:tcPr>
            <w:tcW w:type="dxa" w:w="2008"/>
          </w:tcPr>
          <w:p>
            <w:pPr>
              <w:spacing w:line="240" w:lineRule="auto" w:before="0" w:after="0"/>
              <w:jc w:val="left"/>
            </w:pPr>
            <w:r>
              <w:rPr>
                <w:rFonts w:ascii="Times New Roman" w:hAnsi="Times New Roman" w:eastAsia="Times New Roman"/>
                <w:sz w:val="14"/>
              </w:rPr>
              <w:t>1.0× (main)</w:t>
            </w:r>
          </w:p>
        </w:tc>
        <w:tc>
          <w:tcPr>
            <w:tcW w:type="dxa" w:w="2008"/>
          </w:tcPr>
          <w:p>
            <w:pPr>
              <w:spacing w:line="240" w:lineRule="auto" w:before="0" w:after="0"/>
              <w:jc w:val="right"/>
            </w:pPr>
            <w:r>
              <w:rPr>
                <w:rFonts w:ascii="Times New Roman" w:hAnsi="Times New Roman" w:eastAsia="Times New Roman"/>
                <w:sz w:val="14"/>
              </w:rPr>
              <w:t>45.51%</w:t>
            </w:r>
          </w:p>
        </w:tc>
        <w:tc>
          <w:tcPr>
            <w:tcW w:type="dxa" w:w="2008"/>
          </w:tcPr>
          <w:p>
            <w:pPr>
              <w:spacing w:line="240" w:lineRule="auto" w:before="0" w:after="0"/>
              <w:jc w:val="left"/>
            </w:pPr>
            <w:r>
              <w:rPr>
                <w:rFonts w:ascii="Times New Roman" w:hAnsi="Times New Roman" w:eastAsia="Times New Roman"/>
                <w:sz w:val="14"/>
              </w:rPr>
              <w:t>[31.4, 59.0]</w:t>
            </w:r>
          </w:p>
        </w:tc>
        <w:tc>
          <w:tcPr>
            <w:tcW w:type="dxa" w:w="2008"/>
          </w:tcPr>
          <w:p>
            <w:pPr>
              <w:spacing w:line="240" w:lineRule="auto" w:before="0" w:after="0"/>
              <w:jc w:val="left"/>
            </w:pPr>
            <w:r>
              <w:rPr>
                <w:rFonts w:ascii="Times New Roman" w:hAnsi="Times New Roman" w:eastAsia="Times New Roman"/>
                <w:sz w:val="14"/>
              </w:rPr>
              <w:t>PARTIAL</w:t>
            </w:r>
          </w:p>
        </w:tc>
      </w:tr>
      <w:tr>
        <w:tc>
          <w:tcPr>
            <w:tcW w:type="dxa" w:w="2008"/>
          </w:tcPr>
          <w:p>
            <w:pPr>
              <w:spacing w:line="240" w:lineRule="auto" w:before="0" w:after="0"/>
              <w:jc w:val="left"/>
            </w:pPr>
            <w:r>
              <w:rPr>
                <w:rFonts w:ascii="Times New Roman" w:hAnsi="Times New Roman" w:eastAsia="Times New Roman"/>
                <w:sz w:val="14"/>
              </w:rPr>
              <w:t>EB scale</w:t>
            </w:r>
          </w:p>
        </w:tc>
        <w:tc>
          <w:tcPr>
            <w:tcW w:type="dxa" w:w="2008"/>
          </w:tcPr>
          <w:p>
            <w:pPr>
              <w:spacing w:line="240" w:lineRule="auto" w:before="0" w:after="0"/>
              <w:jc w:val="left"/>
            </w:pPr>
            <w:r>
              <w:rPr>
                <w:rFonts w:ascii="Times New Roman" w:hAnsi="Times New Roman" w:eastAsia="Times New Roman"/>
                <w:sz w:val="14"/>
              </w:rPr>
              <w:t>2.0× pseudocount</w:t>
            </w:r>
          </w:p>
        </w:tc>
        <w:tc>
          <w:tcPr>
            <w:tcW w:type="dxa" w:w="2008"/>
          </w:tcPr>
          <w:p>
            <w:pPr>
              <w:spacing w:line="240" w:lineRule="auto" w:before="0" w:after="0"/>
              <w:jc w:val="right"/>
            </w:pPr>
            <w:r>
              <w:rPr>
                <w:rFonts w:ascii="Times New Roman" w:hAnsi="Times New Roman" w:eastAsia="Times New Roman"/>
                <w:sz w:val="14"/>
              </w:rPr>
              <w:t>45.80%</w:t>
            </w:r>
          </w:p>
        </w:tc>
        <w:tc>
          <w:tcPr>
            <w:tcW w:type="dxa" w:w="2008"/>
          </w:tcPr>
          <w:p>
            <w:pPr>
              <w:spacing w:line="240" w:lineRule="auto" w:before="0" w:after="0"/>
              <w:jc w:val="left"/>
            </w:pPr>
            <w:r>
              <w:rPr>
                <w:rFonts w:ascii="Times New Roman" w:hAnsi="Times New Roman" w:eastAsia="Times New Roman"/>
                <w:sz w:val="14"/>
              </w:rPr>
              <w:t>[32.3, 58.9]</w:t>
            </w:r>
          </w:p>
        </w:tc>
        <w:tc>
          <w:tcPr>
            <w:tcW w:type="dxa" w:w="2008"/>
          </w:tcPr>
          <w:p>
            <w:pPr>
              <w:spacing w:line="240" w:lineRule="auto" w:before="0" w:after="0"/>
              <w:jc w:val="left"/>
            </w:pPr>
            <w:r>
              <w:rPr>
                <w:rFonts w:ascii="Times New Roman" w:hAnsi="Times New Roman" w:eastAsia="Times New Roman"/>
                <w:sz w:val="14"/>
              </w:rPr>
              <w:t>PARTIAL</w:t>
            </w:r>
          </w:p>
        </w:tc>
      </w:tr>
      <w:tr>
        <w:tc>
          <w:tcPr>
            <w:tcW w:type="dxa" w:w="2008"/>
          </w:tcPr>
          <w:p>
            <w:pPr>
              <w:spacing w:line="240" w:lineRule="auto" w:before="0" w:after="0"/>
              <w:jc w:val="left"/>
            </w:pPr>
            <w:r>
              <w:rPr>
                <w:rFonts w:ascii="Times New Roman" w:hAnsi="Times New Roman" w:eastAsia="Times New Roman"/>
                <w:sz w:val="14"/>
              </w:rPr>
              <w:t>Cluster mass shift δ</w:t>
            </w:r>
          </w:p>
        </w:tc>
        <w:tc>
          <w:tcPr>
            <w:tcW w:type="dxa" w:w="2008"/>
          </w:tcPr>
          <w:p>
            <w:pPr>
              <w:spacing w:line="240" w:lineRule="auto" w:before="0" w:after="0"/>
              <w:jc w:val="left"/>
            </w:pPr>
            <w:r>
              <w:rPr>
                <w:rFonts w:ascii="Times New Roman" w:hAnsi="Times New Roman" w:eastAsia="Times New Roman"/>
                <w:sz w:val="14"/>
              </w:rPr>
              <w:t>−0.10 high−low</w:t>
            </w:r>
          </w:p>
        </w:tc>
        <w:tc>
          <w:tcPr>
            <w:tcW w:type="dxa" w:w="2008"/>
          </w:tcPr>
          <w:p>
            <w:pPr>
              <w:spacing w:line="240" w:lineRule="auto" w:before="0" w:after="0"/>
              <w:jc w:val="right"/>
            </w:pPr>
            <w:r>
              <w:rPr>
                <w:rFonts w:ascii="Times New Roman" w:hAnsi="Times New Roman" w:eastAsia="Times New Roman"/>
                <w:sz w:val="14"/>
              </w:rPr>
              <w:t>56.47%</w:t>
            </w:r>
          </w:p>
        </w:tc>
        <w:tc>
          <w:tcPr>
            <w:tcW w:type="dxa" w:w="2008"/>
          </w:tcPr>
          <w:p>
            <w:pPr>
              <w:spacing w:line="240" w:lineRule="auto" w:before="0" w:after="0"/>
              <w:jc w:val="left"/>
            </w:pPr>
            <w:r>
              <w:rPr>
                <w:rFonts w:ascii="Times New Roman" w:hAnsi="Times New Roman" w:eastAsia="Times New Roman"/>
                <w:sz w:val="14"/>
              </w:rPr>
              <w:t>[42.8, 68.8]</w:t>
            </w:r>
          </w:p>
        </w:tc>
        <w:tc>
          <w:tcPr>
            <w:tcW w:type="dxa" w:w="2008"/>
          </w:tcPr>
          <w:p>
            <w:pPr>
              <w:spacing w:line="240" w:lineRule="auto" w:before="0" w:after="0"/>
              <w:jc w:val="left"/>
            </w:pPr>
            <w:r>
              <w:rPr>
                <w:rFonts w:ascii="Times New Roman" w:hAnsi="Times New Roman" w:eastAsia="Times New Roman"/>
                <w:sz w:val="14"/>
              </w:rPr>
              <w:t>PARTIAL</w:t>
            </w:r>
          </w:p>
        </w:tc>
      </w:tr>
      <w:tr>
        <w:tc>
          <w:tcPr>
            <w:tcW w:type="dxa" w:w="2008"/>
          </w:tcPr>
          <w:p>
            <w:pPr>
              <w:spacing w:line="240" w:lineRule="auto" w:before="0" w:after="0"/>
              <w:jc w:val="left"/>
            </w:pPr>
            <w:r>
              <w:rPr>
                <w:rFonts w:ascii="Times New Roman" w:hAnsi="Times New Roman" w:eastAsia="Times New Roman"/>
                <w:sz w:val="14"/>
              </w:rPr>
              <w:t>Cluster mass shift δ</w:t>
            </w:r>
          </w:p>
        </w:tc>
        <w:tc>
          <w:tcPr>
            <w:tcW w:type="dxa" w:w="2008"/>
          </w:tcPr>
          <w:p>
            <w:pPr>
              <w:spacing w:line="240" w:lineRule="auto" w:before="0" w:after="0"/>
              <w:jc w:val="left"/>
            </w:pPr>
            <w:r>
              <w:rPr>
                <w:rFonts w:ascii="Times New Roman" w:hAnsi="Times New Roman" w:eastAsia="Times New Roman"/>
                <w:sz w:val="14"/>
              </w:rPr>
              <w:t>0.0 (main)</w:t>
            </w:r>
          </w:p>
        </w:tc>
        <w:tc>
          <w:tcPr>
            <w:tcW w:type="dxa" w:w="2008"/>
          </w:tcPr>
          <w:p>
            <w:pPr>
              <w:spacing w:line="240" w:lineRule="auto" w:before="0" w:after="0"/>
              <w:jc w:val="right"/>
            </w:pPr>
            <w:r>
              <w:rPr>
                <w:rFonts w:ascii="Times New Roman" w:hAnsi="Times New Roman" w:eastAsia="Times New Roman"/>
                <w:sz w:val="14"/>
              </w:rPr>
              <w:t>45.51%</w:t>
            </w:r>
          </w:p>
        </w:tc>
        <w:tc>
          <w:tcPr>
            <w:tcW w:type="dxa" w:w="2008"/>
          </w:tcPr>
          <w:p>
            <w:pPr>
              <w:spacing w:line="240" w:lineRule="auto" w:before="0" w:after="0"/>
              <w:jc w:val="left"/>
            </w:pPr>
            <w:r>
              <w:rPr>
                <w:rFonts w:ascii="Times New Roman" w:hAnsi="Times New Roman" w:eastAsia="Times New Roman"/>
                <w:sz w:val="14"/>
              </w:rPr>
              <w:t>[31.4, 59.2]</w:t>
            </w:r>
          </w:p>
        </w:tc>
        <w:tc>
          <w:tcPr>
            <w:tcW w:type="dxa" w:w="2008"/>
          </w:tcPr>
          <w:p>
            <w:pPr>
              <w:spacing w:line="240" w:lineRule="auto" w:before="0" w:after="0"/>
              <w:jc w:val="left"/>
            </w:pPr>
            <w:r>
              <w:rPr>
                <w:rFonts w:ascii="Times New Roman" w:hAnsi="Times New Roman" w:eastAsia="Times New Roman"/>
                <w:sz w:val="14"/>
              </w:rPr>
              <w:t>PARTIAL</w:t>
            </w:r>
          </w:p>
        </w:tc>
      </w:tr>
      <w:tr>
        <w:tc>
          <w:tcPr>
            <w:tcW w:type="dxa" w:w="2008"/>
          </w:tcPr>
          <w:p>
            <w:pPr>
              <w:spacing w:line="240" w:lineRule="auto" w:before="0" w:after="0"/>
              <w:jc w:val="left"/>
            </w:pPr>
            <w:r>
              <w:rPr>
                <w:rFonts w:ascii="Times New Roman" w:hAnsi="Times New Roman" w:eastAsia="Times New Roman"/>
                <w:sz w:val="14"/>
              </w:rPr>
              <w:t>Cluster mass shift δ</w:t>
            </w:r>
          </w:p>
        </w:tc>
        <w:tc>
          <w:tcPr>
            <w:tcW w:type="dxa" w:w="2008"/>
          </w:tcPr>
          <w:p>
            <w:pPr>
              <w:spacing w:line="240" w:lineRule="auto" w:before="0" w:after="0"/>
              <w:jc w:val="left"/>
            </w:pPr>
            <w:r>
              <w:rPr>
                <w:rFonts w:ascii="Times New Roman" w:hAnsi="Times New Roman" w:eastAsia="Times New Roman"/>
                <w:sz w:val="14"/>
              </w:rPr>
              <w:t>+0.10 high−low</w:t>
            </w:r>
          </w:p>
        </w:tc>
        <w:tc>
          <w:tcPr>
            <w:tcW w:type="dxa" w:w="2008"/>
          </w:tcPr>
          <w:p>
            <w:pPr>
              <w:spacing w:line="240" w:lineRule="auto" w:before="0" w:after="0"/>
              <w:jc w:val="right"/>
            </w:pPr>
            <w:r>
              <w:rPr>
                <w:rFonts w:ascii="Times New Roman" w:hAnsi="Times New Roman" w:eastAsia="Times New Roman"/>
                <w:sz w:val="14"/>
              </w:rPr>
              <w:t>34.55%</w:t>
            </w:r>
          </w:p>
        </w:tc>
        <w:tc>
          <w:tcPr>
            <w:tcW w:type="dxa" w:w="2008"/>
          </w:tcPr>
          <w:p>
            <w:pPr>
              <w:spacing w:line="240" w:lineRule="auto" w:before="0" w:after="0"/>
              <w:jc w:val="left"/>
            </w:pPr>
            <w:r>
              <w:rPr>
                <w:rFonts w:ascii="Times New Roman" w:hAnsi="Times New Roman" w:eastAsia="Times New Roman"/>
                <w:sz w:val="14"/>
              </w:rPr>
              <w:t>[16.6, 51.8]</w:t>
            </w:r>
          </w:p>
        </w:tc>
        <w:tc>
          <w:tcPr>
            <w:tcW w:type="dxa" w:w="2008"/>
          </w:tcPr>
          <w:p>
            <w:pPr>
              <w:spacing w:line="240" w:lineRule="auto" w:before="0" w:after="0"/>
              <w:jc w:val="left"/>
            </w:pPr>
            <w:r>
              <w:rPr>
                <w:rFonts w:ascii="Times New Roman" w:hAnsi="Times New Roman" w:eastAsia="Times New Roman"/>
                <w:sz w:val="14"/>
              </w:rPr>
              <w:t>PARTIAL</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B = 2,000 per row, percentile CI on FY2016 MAPE. The baseline row uses the locked v2.0 main configuration; all other rows hold remaining parameters at main while varying the indicated family.</w:t>
      </w:r>
    </w:p>
    <w:p>
      <w:pPr>
        <w:spacing w:line="240" w:lineRule="auto" w:before="0" w:after="0"/>
        <w:ind w:firstLine="180"/>
        <w:jc w:val="both"/>
      </w:pPr>
      <w:r>
        <w:rPr>
          <w:rFonts w:ascii="Times New Roman" w:hAnsi="Times New Roman" w:eastAsia="Times New Roman"/>
          <w:sz w:val="20"/>
        </w:rPr>
        <w:t>Two parameter families show substantial sensitivity:</w:t>
      </w:r>
    </w:p>
    <w:p>
      <w:pPr>
        <w:pStyle w:val="ListBullet"/>
        <w:spacing w:line="240" w:lineRule="auto" w:before="0" w:after="0"/>
        <w:jc w:val="both"/>
      </w:pPr>
      <w:r>
        <w:rPr>
          <w:rFonts w:ascii="Times New Roman" w:hAnsi="Times New Roman" w:eastAsia="Times New Roman"/>
          <w:sz w:val="20"/>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240" w:lineRule="auto" w:before="0" w:after="0"/>
        <w:jc w:val="both"/>
      </w:pPr>
      <w:r>
        <w:rPr>
          <w:rFonts w:ascii="Times New Roman" w:hAnsi="Times New Roman" w:eastAsia="Times New Roman"/>
          <w:sz w:val="20"/>
        </w:rPr>
        <w:t>Cluster proportion mass shift (range: 34.55% to 56.47%): underscores the centrality of the Tokiwa [13] cluster proportions to the conclusion (acknowledged as a pre-registered limitation, since cluster membership is not measured in the Labour Force Survey and the cluster mass cannot be re-weighted).</w:t>
      </w:r>
    </w:p>
    <w:p>
      <w:pPr>
        <w:spacing w:line="240" w:lineRule="auto" w:before="0" w:after="0"/>
        <w:ind w:firstLine="180"/>
        <w:jc w:val="both"/>
      </w:pPr>
      <w:r>
        <w:rPr>
          <w:rFonts w:ascii="Times New Roman" w:hAnsi="Times New Roman" w:eastAsia="Times New Roman"/>
          <w:sz w:val="20"/>
        </w:rPr>
        <w:t>Two parameter families show negligible sensitivity:</w:t>
      </w:r>
    </w:p>
    <w:p>
      <w:pPr>
        <w:pStyle w:val="ListBullet"/>
        <w:spacing w:line="240" w:lineRule="auto" w:before="0" w:after="0"/>
        <w:jc w:val="both"/>
      </w:pPr>
      <w:r>
        <w:rPr>
          <w:rFonts w:ascii="Times New Roman" w:hAnsi="Times New Roman" w:eastAsia="Times New Roman"/>
          <w:sz w:val="20"/>
        </w:rPr>
        <w:t>Soft-assignment τ (range: 45.04% to 45.24%; 0.20 percentage-point spread): cluster-membership-fuzziness is essentially irrelevant to the conclusion;</w:t>
      </w:r>
    </w:p>
    <w:p>
      <w:pPr>
        <w:pStyle w:val="ListBullet"/>
        <w:spacing w:line="240" w:lineRule="auto" w:before="0" w:after="0"/>
        <w:jc w:val="both"/>
      </w:pPr>
      <w:r>
        <w:rPr>
          <w:rFonts w:ascii="Times New Roman" w:hAnsi="Times New Roman" w:eastAsia="Times New Roman"/>
          <w:sz w:val="20"/>
        </w:rPr>
        <w:t>Empirical Bayes shrinkage scale (range: 45.51% to 45.90%; 0.40 percentage-point spread): the empirical Bayes prior-pseudocount magnitude is negligible.</w:t>
      </w:r>
    </w:p>
    <w:p>
      <w:pPr>
        <w:spacing w:line="240" w:lineRule="auto" w:before="0" w:after="0"/>
        <w:ind w:firstLine="180"/>
        <w:jc w:val="both"/>
      </w:pPr>
      <w:r>
        <w:rPr>
          <w:rFonts w:ascii="Times New Roman" w:hAnsi="Times New Roman" w:eastAsia="Times New Roman"/>
          <w:sz w:val="20"/>
        </w:rPr>
        <w:t>The two stable axes provide affirmative robustness evidence; the two sensitive axes circumscribe the assumptions on which the conclusion explicitly depends.</w:t>
      </w:r>
    </w:p>
    <w:p>
      <w:pPr>
        <w:spacing w:line="240" w:lineRule="auto" w:before="80" w:after="40"/>
      </w:pPr>
      <w:r>
        <w:rPr>
          <w:rFonts w:ascii="Times New Roman" w:hAnsi="Times New Roman" w:eastAsia="Times New Roman"/>
          <w:b/>
          <w:color w:val="000000"/>
          <w:sz w:val="20"/>
        </w:rPr>
        <w:t>D. Baseline comparison and H2 ordinal trend (Stage 4)</w:t>
      </w:r>
    </w:p>
    <w:p>
      <w:pPr>
        <w:spacing w:line="240" w:lineRule="auto" w:before="0" w:after="0"/>
        <w:ind w:firstLine="180"/>
        <w:jc w:val="both"/>
      </w:pPr>
      <w:r>
        <w:rPr>
          <w:rFonts w:ascii="Times New Roman" w:hAnsi="Times New Roman" w:eastAsia="Times New Roman"/>
          <w:sz w:val="20"/>
        </w:rPr>
        <w:t>The pre-registered B0–B4 baseline ladder yielded the following MAPE_FY2016 estimates (Table 3).</w:t>
      </w:r>
    </w:p>
    <w:p>
      <w:pPr>
        <w:spacing w:line="240" w:lineRule="auto" w:before="120" w:after="0"/>
        <w:jc w:val="center"/>
      </w:pPr>
      <w:r>
        <w:rPr>
          <w:rFonts w:ascii="Times New Roman" w:hAnsi="Times New Roman" w:eastAsia="Times New Roman"/>
          <w:color w:val="000000"/>
          <w:sz w:val="16"/>
        </w:rPr>
        <w:t>TABLE 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0"/>
        <w:gridCol w:w="2510"/>
        <w:gridCol w:w="2510"/>
        <w:gridCol w:w="2510"/>
      </w:tblGrid>
      <w:tr>
        <w:tc>
          <w:tcPr>
            <w:tcW w:type="dxa" w:w="10040"/>
            <w:gridSpan w:val="4"/>
          </w:tcPr>
          <w:p>
            <w:pPr>
              <w:spacing w:line="240" w:lineRule="auto" w:before="0" w:after="0"/>
              <w:jc w:val="center"/>
            </w:pPr>
            <w:r>
              <w:rPr>
                <w:rFonts w:ascii="Times New Roman" w:hAnsi="Times New Roman" w:eastAsia="Times New Roman"/>
                <w:color w:val="000000"/>
                <w:sz w:val="14"/>
              </w:rPr>
              <w:t>BASELINE COMPARISON FOR H2</w:t>
            </w:r>
          </w:p>
        </w:tc>
      </w:tr>
      <w:tr>
        <w:tc>
          <w:tcPr>
            <w:tcW w:type="dxa" w:w="2510"/>
          </w:tcPr>
          <w:p>
            <w:pPr>
              <w:spacing w:line="240" w:lineRule="auto" w:before="0" w:after="0"/>
              <w:jc w:val="center"/>
            </w:pPr>
            <w:r>
              <w:rPr>
                <w:rFonts w:ascii="Times New Roman" w:hAnsi="Times New Roman" w:eastAsia="Times New Roman"/>
                <w:b/>
                <w:sz w:val="14"/>
              </w:rPr>
              <w:t>Baseline</w:t>
            </w:r>
          </w:p>
        </w:tc>
        <w:tc>
          <w:tcPr>
            <w:tcW w:type="dxa" w:w="2510"/>
          </w:tcPr>
          <w:p>
            <w:pPr>
              <w:spacing w:line="240" w:lineRule="auto" w:before="0" w:after="0"/>
              <w:jc w:val="center"/>
            </w:pPr>
            <w:r>
              <w:rPr>
                <w:rFonts w:ascii="Times New Roman" w:hAnsi="Times New Roman" w:eastAsia="Times New Roman"/>
                <w:b/>
                <w:sz w:val="14"/>
              </w:rPr>
              <w:t>Description</w:t>
            </w:r>
          </w:p>
        </w:tc>
        <w:tc>
          <w:tcPr>
            <w:tcW w:type="dxa" w:w="2510"/>
          </w:tcPr>
          <w:p>
            <w:pPr>
              <w:spacing w:line="240" w:lineRule="auto" w:before="0" w:after="0"/>
              <w:jc w:val="center"/>
            </w:pPr>
            <w:r>
              <w:rPr>
                <w:rFonts w:ascii="Times New Roman" w:hAnsi="Times New Roman" w:eastAsia="Times New Roman"/>
                <w:b/>
                <w:sz w:val="14"/>
              </w:rPr>
              <w:t>MAPE</w:t>
            </w:r>
          </w:p>
        </w:tc>
        <w:tc>
          <w:tcPr>
            <w:tcW w:type="dxa" w:w="2510"/>
          </w:tcPr>
          <w:p>
            <w:pPr>
              <w:spacing w:line="240" w:lineRule="auto" w:before="0" w:after="0"/>
              <w:jc w:val="center"/>
            </w:pPr>
            <w:r>
              <w:rPr>
                <w:rFonts w:ascii="Times New Roman" w:hAnsi="Times New Roman" w:eastAsia="Times New Roman"/>
                <w:b/>
                <w:sz w:val="14"/>
              </w:rPr>
              <w:t>95% CI</w:t>
            </w:r>
          </w:p>
        </w:tc>
      </w:tr>
      <w:tr>
        <w:tc>
          <w:tcPr>
            <w:tcW w:type="dxa" w:w="2510"/>
          </w:tcPr>
          <w:p>
            <w:pPr>
              <w:spacing w:line="240" w:lineRule="auto" w:before="0" w:after="0"/>
              <w:jc w:val="left"/>
            </w:pPr>
            <w:r>
              <w:rPr>
                <w:rFonts w:ascii="Times New Roman" w:hAnsi="Times New Roman" w:eastAsia="Times New Roman"/>
                <w:sz w:val="14"/>
              </w:rPr>
              <w:t>B0</w:t>
            </w:r>
          </w:p>
        </w:tc>
        <w:tc>
          <w:tcPr>
            <w:tcW w:type="dxa" w:w="2510"/>
          </w:tcPr>
          <w:p>
            <w:pPr>
              <w:spacing w:line="240" w:lineRule="auto" w:before="0" w:after="0"/>
              <w:jc w:val="left"/>
            </w:pPr>
            <w:r>
              <w:rPr>
                <w:rFonts w:ascii="Times New Roman" w:hAnsi="Times New Roman" w:eastAsia="Times New Roman"/>
                <w:sz w:val="14"/>
              </w:rPr>
              <w:t>Uniform = MHLW grand mean</w:t>
            </w:r>
          </w:p>
        </w:tc>
        <w:tc>
          <w:tcPr>
            <w:tcW w:type="dxa" w:w="2510"/>
          </w:tcPr>
          <w:p>
            <w:pPr>
              <w:spacing w:line="240" w:lineRule="auto" w:before="0" w:after="0"/>
              <w:jc w:val="right"/>
            </w:pPr>
            <w:r>
              <w:rPr>
                <w:rFonts w:ascii="Times New Roman" w:hAnsi="Times New Roman" w:eastAsia="Times New Roman"/>
                <w:sz w:val="14"/>
              </w:rPr>
              <w:t>0.00%</w:t>
            </w:r>
          </w:p>
        </w:tc>
        <w:tc>
          <w:tcPr>
            <w:tcW w:type="dxa" w:w="2510"/>
          </w:tcPr>
          <w:p>
            <w:pPr>
              <w:spacing w:line="240" w:lineRule="auto" w:before="0" w:after="0"/>
              <w:jc w:val="left"/>
            </w:pPr>
            <w:r>
              <w:rPr>
                <w:rFonts w:ascii="Times New Roman" w:hAnsi="Times New Roman" w:eastAsia="Times New Roman"/>
                <w:sz w:val="14"/>
              </w:rPr>
              <w:t>[0.00, 0.00] (deterministic)</w:t>
            </w:r>
          </w:p>
        </w:tc>
      </w:tr>
      <w:tr>
        <w:tc>
          <w:tcPr>
            <w:tcW w:type="dxa" w:w="2510"/>
          </w:tcPr>
          <w:p>
            <w:pPr>
              <w:spacing w:line="240" w:lineRule="auto" w:before="0" w:after="0"/>
              <w:jc w:val="left"/>
            </w:pPr>
            <w:r>
              <w:rPr>
                <w:rFonts w:ascii="Times New Roman" w:hAnsi="Times New Roman" w:eastAsia="Times New Roman"/>
                <w:sz w:val="14"/>
              </w:rPr>
              <w:t>B1</w:t>
            </w:r>
          </w:p>
        </w:tc>
        <w:tc>
          <w:tcPr>
            <w:tcW w:type="dxa" w:w="2510"/>
          </w:tcPr>
          <w:p>
            <w:pPr>
              <w:spacing w:line="240" w:lineRule="auto" w:before="0" w:after="0"/>
              <w:jc w:val="left"/>
            </w:pPr>
            <w:r>
              <w:rPr>
                <w:rFonts w:ascii="Times New Roman" w:hAnsi="Times New Roman" w:eastAsia="Times New Roman"/>
                <w:sz w:val="14"/>
              </w:rPr>
              <w:t>Gender logistic</w:t>
            </w:r>
          </w:p>
        </w:tc>
        <w:tc>
          <w:tcPr>
            <w:tcW w:type="dxa" w:w="2510"/>
          </w:tcPr>
          <w:p>
            <w:pPr>
              <w:spacing w:line="240" w:lineRule="auto" w:before="0" w:after="0"/>
              <w:jc w:val="right"/>
            </w:pPr>
            <w:r>
              <w:rPr>
                <w:rFonts w:ascii="Times New Roman" w:hAnsi="Times New Roman" w:eastAsia="Times New Roman"/>
                <w:sz w:val="14"/>
              </w:rPr>
              <w:t>46.02%</w:t>
            </w:r>
          </w:p>
        </w:tc>
        <w:tc>
          <w:tcPr>
            <w:tcW w:type="dxa" w:w="2510"/>
          </w:tcPr>
          <w:p>
            <w:pPr>
              <w:spacing w:line="240" w:lineRule="auto" w:before="0" w:after="0"/>
              <w:jc w:val="left"/>
            </w:pPr>
            <w:r>
              <w:rPr>
                <w:rFonts w:ascii="Times New Roman" w:hAnsi="Times New Roman" w:eastAsia="Times New Roman"/>
                <w:sz w:val="14"/>
              </w:rPr>
              <w:t>[46.02, 46.02] (deterministic)</w:t>
            </w:r>
          </w:p>
        </w:tc>
      </w:tr>
      <w:tr>
        <w:tc>
          <w:tcPr>
            <w:tcW w:type="dxa" w:w="2510"/>
          </w:tcPr>
          <w:p>
            <w:pPr>
              <w:spacing w:line="240" w:lineRule="auto" w:before="0" w:after="0"/>
              <w:jc w:val="left"/>
            </w:pPr>
            <w:r>
              <w:rPr>
                <w:rFonts w:ascii="Times New Roman" w:hAnsi="Times New Roman" w:eastAsia="Times New Roman"/>
                <w:sz w:val="14"/>
              </w:rPr>
              <w:t>B2</w:t>
            </w:r>
          </w:p>
        </w:tc>
        <w:tc>
          <w:tcPr>
            <w:tcW w:type="dxa" w:w="2510"/>
          </w:tcPr>
          <w:p>
            <w:pPr>
              <w:spacing w:line="240" w:lineRule="auto" w:before="0" w:after="0"/>
              <w:jc w:val="left"/>
            </w:pPr>
            <w:r>
              <w:rPr>
                <w:rFonts w:ascii="Times New Roman" w:hAnsi="Times New Roman" w:eastAsia="Times New Roman"/>
                <w:sz w:val="14"/>
              </w:rPr>
              <w:t>HEXACO 6-domain logistic</w:t>
            </w:r>
          </w:p>
        </w:tc>
        <w:tc>
          <w:tcPr>
            <w:tcW w:type="dxa" w:w="2510"/>
          </w:tcPr>
          <w:p>
            <w:pPr>
              <w:spacing w:line="240" w:lineRule="auto" w:before="0" w:after="0"/>
              <w:jc w:val="right"/>
            </w:pPr>
            <w:r>
              <w:rPr>
                <w:rFonts w:ascii="Times New Roman" w:hAnsi="Times New Roman" w:eastAsia="Times New Roman"/>
                <w:sz w:val="14"/>
              </w:rPr>
              <w:t>43.98%</w:t>
            </w:r>
          </w:p>
        </w:tc>
        <w:tc>
          <w:tcPr>
            <w:tcW w:type="dxa" w:w="2510"/>
          </w:tcPr>
          <w:p>
            <w:pPr>
              <w:spacing w:line="240" w:lineRule="auto" w:before="0" w:after="0"/>
              <w:jc w:val="left"/>
            </w:pPr>
            <w:r>
              <w:rPr>
                <w:rFonts w:ascii="Times New Roman" w:hAnsi="Times New Roman" w:eastAsia="Times New Roman"/>
                <w:sz w:val="14"/>
              </w:rPr>
              <w:t>[40.33, 47.35]</w:t>
            </w:r>
          </w:p>
        </w:tc>
      </w:tr>
      <w:tr>
        <w:tc>
          <w:tcPr>
            <w:tcW w:type="dxa" w:w="2510"/>
          </w:tcPr>
          <w:p>
            <w:pPr>
              <w:spacing w:line="240" w:lineRule="auto" w:before="0" w:after="0"/>
              <w:jc w:val="left"/>
            </w:pPr>
            <w:r>
              <w:rPr>
                <w:rFonts w:ascii="Times New Roman" w:hAnsi="Times New Roman" w:eastAsia="Times New Roman"/>
                <w:sz w:val="14"/>
              </w:rPr>
              <w:t>B3</w:t>
            </w:r>
          </w:p>
        </w:tc>
        <w:tc>
          <w:tcPr>
            <w:tcW w:type="dxa" w:w="2510"/>
          </w:tcPr>
          <w:p>
            <w:pPr>
              <w:spacing w:line="240" w:lineRule="auto" w:before="0" w:after="0"/>
              <w:jc w:val="left"/>
            </w:pPr>
            <w:r>
              <w:rPr>
                <w:rFonts w:ascii="Times New Roman" w:hAnsi="Times New Roman" w:eastAsia="Times New Roman"/>
                <w:sz w:val="14"/>
              </w:rPr>
              <w:t>14-cell conditional</w:t>
            </w:r>
          </w:p>
        </w:tc>
        <w:tc>
          <w:tcPr>
            <w:tcW w:type="dxa" w:w="2510"/>
          </w:tcPr>
          <w:p>
            <w:pPr>
              <w:spacing w:line="240" w:lineRule="auto" w:before="0" w:after="0"/>
              <w:jc w:val="right"/>
            </w:pPr>
            <w:r>
              <w:rPr>
                <w:rFonts w:ascii="Times New Roman" w:hAnsi="Times New Roman" w:eastAsia="Times New Roman"/>
                <w:sz w:val="14"/>
              </w:rPr>
              <w:t>46.34%</w:t>
            </w:r>
          </w:p>
        </w:tc>
        <w:tc>
          <w:tcPr>
            <w:tcW w:type="dxa" w:w="2510"/>
          </w:tcPr>
          <w:p>
            <w:pPr>
              <w:spacing w:line="240" w:lineRule="auto" w:before="0" w:after="0"/>
              <w:jc w:val="left"/>
            </w:pPr>
            <w:r>
              <w:rPr>
                <w:rFonts w:ascii="Times New Roman" w:hAnsi="Times New Roman" w:eastAsia="Times New Roman"/>
                <w:sz w:val="14"/>
              </w:rPr>
              <w:t>[46.34, 46.34] (deterministic)</w:t>
            </w:r>
          </w:p>
        </w:tc>
      </w:tr>
      <w:tr>
        <w:tc>
          <w:tcPr>
            <w:tcW w:type="dxa" w:w="2510"/>
          </w:tcPr>
          <w:p>
            <w:pPr>
              <w:spacing w:line="240" w:lineRule="auto" w:before="0" w:after="0"/>
              <w:jc w:val="left"/>
            </w:pPr>
            <w:r>
              <w:rPr>
                <w:rFonts w:ascii="Times New Roman" w:hAnsi="Times New Roman" w:eastAsia="Times New Roman"/>
                <w:sz w:val="14"/>
              </w:rPr>
              <w:t>B4</w:t>
            </w:r>
          </w:p>
        </w:tc>
        <w:tc>
          <w:tcPr>
            <w:tcW w:type="dxa" w:w="2510"/>
          </w:tcPr>
          <w:p>
            <w:pPr>
              <w:spacing w:line="240" w:lineRule="auto" w:before="0" w:after="0"/>
              <w:jc w:val="left"/>
            </w:pPr>
            <w:r>
              <w:rPr>
                <w:rFonts w:ascii="Times New Roman" w:hAnsi="Times New Roman" w:eastAsia="Times New Roman"/>
                <w:sz w:val="14"/>
              </w:rPr>
              <w:t>Extended (age + age × cluster)</w:t>
            </w:r>
          </w:p>
        </w:tc>
        <w:tc>
          <w:tcPr>
            <w:tcW w:type="dxa" w:w="2510"/>
          </w:tcPr>
          <w:p>
            <w:pPr>
              <w:spacing w:line="240" w:lineRule="auto" w:before="0" w:after="0"/>
              <w:jc w:val="right"/>
            </w:pPr>
            <w:r>
              <w:rPr>
                <w:rFonts w:ascii="Times New Roman" w:hAnsi="Times New Roman" w:eastAsia="Times New Roman"/>
                <w:sz w:val="14"/>
              </w:rPr>
              <w:t>47.04%</w:t>
            </w:r>
          </w:p>
        </w:tc>
        <w:tc>
          <w:tcPr>
            <w:tcW w:type="dxa" w:w="2510"/>
          </w:tcPr>
          <w:p>
            <w:pPr>
              <w:spacing w:line="240" w:lineRule="auto" w:before="0" w:after="0"/>
              <w:jc w:val="left"/>
            </w:pPr>
            <w:r>
              <w:rPr>
                <w:rFonts w:ascii="Times New Roman" w:hAnsi="Times New Roman" w:eastAsia="Times New Roman"/>
                <w:sz w:val="14"/>
              </w:rPr>
              <w:t>[45.02, 49.05]</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p>
      <w:pPr>
        <w:spacing w:line="240" w:lineRule="auto" w:before="0" w:after="0"/>
        <w:ind w:firstLine="180"/>
        <w:jc w:val="both"/>
      </w:pPr>
      <w:r>
        <w:rPr>
          <w:rFonts w:ascii="Times New Roman" w:hAnsi="Times New Roman" w:eastAsia="Times New Roman"/>
          <w:sz w:val="20"/>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240" w:lineRule="auto" w:before="0" w:after="0"/>
        <w:ind w:firstLine="180"/>
        <w:jc w:val="both"/>
      </w:pPr>
      <w:r>
        <w:rPr>
          <w:rFonts w:ascii="Times New Roman" w:hAnsi="Times New Roman" w:eastAsia="Times New Roman"/>
          <w:sz w:val="20"/>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240" w:lineRule="auto" w:before="80" w:after="40"/>
      </w:pPr>
      <w:r>
        <w:rPr>
          <w:rFonts w:ascii="Times New Roman" w:hAnsi="Times New Roman" w:eastAsia="Times New Roman"/>
          <w:b/>
          <w:color w:val="000000"/>
          <w:sz w:val="20"/>
        </w:rPr>
        <w:t>E. Common-method-variance diagnostic (Stage 5)</w:t>
      </w:r>
    </w:p>
    <w:p>
      <w:pPr>
        <w:spacing w:line="240" w:lineRule="auto" w:before="0" w:after="0"/>
        <w:ind w:firstLine="180"/>
        <w:jc w:val="both"/>
      </w:pPr>
      <w:r>
        <w:rPr>
          <w:rFonts w:ascii="Times New Roman" w:hAnsi="Times New Roman" w:eastAsia="Times New Roman"/>
          <w:sz w:val="20"/>
        </w:rPr>
        <w:t>Harman's single-factor test on 11 standardized variables (6 HEXACO + 3 Dark Triad + 2 harassment continuous scales; N = 353 used after listwise deletion) yielded:</w:t>
      </w:r>
    </w:p>
    <w:p>
      <w:pPr>
        <w:pStyle w:val="ListBullet"/>
        <w:spacing w:line="240" w:lineRule="auto" w:before="0" w:after="0"/>
        <w:jc w:val="both"/>
      </w:pPr>
      <w:r>
        <w:rPr>
          <w:rFonts w:ascii="Times New Roman" w:hAnsi="Times New Roman" w:eastAsia="Times New Roman"/>
          <w:sz w:val="20"/>
        </w:rPr>
        <w:t>First-factor variance: 24.08% (well below the 50% concern threshold);</w:t>
      </w:r>
    </w:p>
    <w:p>
      <w:pPr>
        <w:pStyle w:val="ListBullet"/>
        <w:spacing w:line="240" w:lineRule="auto" w:before="0" w:after="0"/>
        <w:jc w:val="both"/>
      </w:pPr>
      <w:r>
        <w:rPr>
          <w:rFonts w:ascii="Times New Roman" w:hAnsi="Times New Roman" w:eastAsia="Times New Roman"/>
          <w:sz w:val="20"/>
        </w:rPr>
        <w:t>CMV concern flag: False;</w:t>
      </w:r>
    </w:p>
    <w:p>
      <w:pPr>
        <w:pStyle w:val="ListBullet"/>
        <w:spacing w:line="240" w:lineRule="auto" w:before="0" w:after="0"/>
        <w:jc w:val="both"/>
      </w:pPr>
      <w:r>
        <w:rPr>
          <w:rFonts w:ascii="Times New Roman" w:hAnsi="Times New Roman" w:eastAsia="Times New Roman"/>
          <w:sz w:val="20"/>
        </w:rPr>
        <w:t>Marker-variable correction [30] using HEXACO Openness as theoretical marker:</w:t>
      </w:r>
    </w:p>
    <w:p>
      <w:pPr>
        <w:pStyle w:val="ListBullet"/>
        <w:spacing w:line="240" w:lineRule="auto" w:before="0" w:after="0"/>
        <w:jc w:val="both"/>
      </w:pPr>
      <w:r>
        <w:rPr>
          <w:rFonts w:ascii="Times New Roman" w:hAnsi="Times New Roman" w:eastAsia="Times New Roman"/>
          <w:sz w:val="20"/>
        </w:rPr>
        <w:t>r(O, power harassment) = +0.068 (CMV estimate);</w:t>
      </w:r>
    </w:p>
    <w:p>
      <w:pPr>
        <w:pStyle w:val="ListBullet"/>
        <w:spacing w:line="240" w:lineRule="auto" w:before="0" w:after="0"/>
        <w:jc w:val="both"/>
      </w:pPr>
      <w:r>
        <w:rPr>
          <w:rFonts w:ascii="Times New Roman" w:hAnsi="Times New Roman" w:eastAsia="Times New Roman"/>
          <w:sz w:val="20"/>
        </w:rPr>
        <w:t>r(O, gender harassment) = −0.181;</w:t>
      </w:r>
    </w:p>
    <w:p>
      <w:pPr>
        <w:pStyle w:val="ListBullet"/>
        <w:spacing w:line="240" w:lineRule="auto" w:before="0" w:after="0"/>
        <w:jc w:val="both"/>
      </w:pPr>
      <w:r>
        <w:rPr>
          <w:rFonts w:ascii="Times New Roman" w:hAnsi="Times New Roman" w:eastAsia="Times New Roman"/>
          <w:sz w:val="20"/>
        </w:rPr>
        <w:t>Honesty-Humility–power harassment association: r_raw = −0.265 → r_adjusted = −0.356 (slightly strengthened after CMV correction);</w:t>
      </w:r>
    </w:p>
    <w:p>
      <w:pPr>
        <w:pStyle w:val="ListBullet"/>
        <w:spacing w:line="240" w:lineRule="auto" w:before="0" w:after="0"/>
        <w:jc w:val="both"/>
      </w:pPr>
      <w:r>
        <w:rPr>
          <w:rFonts w:ascii="Times New Roman" w:hAnsi="Times New Roman" w:eastAsia="Times New Roman"/>
          <w:sz w:val="20"/>
        </w:rPr>
        <w:t>Psychopathy–power harassment association: r_raw = +0.391 → r_adjusted = +0.347.</w:t>
      </w:r>
    </w:p>
    <w:p>
      <w:pPr>
        <w:spacing w:line="240" w:lineRule="auto" w:before="0" w:after="0"/>
        <w:ind w:firstLine="180"/>
        <w:jc w:val="both"/>
      </w:pPr>
      <w:r>
        <w:rPr>
          <w:rFonts w:ascii="Times New Roman" w:hAnsi="Times New Roman" w:eastAsia="Times New Roman"/>
          <w:sz w:val="20"/>
        </w:rPr>
        <w:t>Common-method bias does not pose substantial concern for the present data, and the post-correction associations remain in the expected directions.</w:t>
      </w:r>
    </w:p>
    <w:p>
      <w:pPr>
        <w:spacing w:line="240" w:lineRule="auto" w:before="80" w:after="40"/>
      </w:pPr>
      <w:r>
        <w:rPr>
          <w:rFonts w:ascii="Times New Roman" w:hAnsi="Times New Roman" w:eastAsia="Times New Roman"/>
          <w:b/>
          <w:color w:val="000000"/>
          <w:sz w:val="20"/>
        </w:rPr>
        <w:t>F. Counterfactual contrasts and H7 IUT (Stage 7)</w:t>
      </w:r>
    </w:p>
    <w:p>
      <w:pPr>
        <w:spacing w:line="240" w:lineRule="auto" w:before="0" w:after="0"/>
        <w:ind w:firstLine="180"/>
        <w:jc w:val="both"/>
      </w:pPr>
      <w:r>
        <w:rPr>
          <w:rFonts w:ascii="Times New Roman" w:hAnsi="Times New Roman" w:eastAsia="Times New Roman"/>
          <w:sz w:val="20"/>
        </w:rPr>
        <w:t>The three pre-registered counterfactual interventions produced the following ΔP_x estimates (Table 4).</w:t>
      </w:r>
    </w:p>
    <w:p>
      <w:pPr>
        <w:spacing w:line="240" w:lineRule="auto" w:before="120" w:after="0"/>
        <w:jc w:val="center"/>
      </w:pPr>
      <w:r>
        <w:rPr>
          <w:rFonts w:ascii="Times New Roman" w:hAnsi="Times New Roman" w:eastAsia="Times New Roman"/>
          <w:color w:val="000000"/>
          <w:sz w:val="16"/>
        </w:rPr>
        <w:t>TABLE IV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8"/>
        <w:gridCol w:w="2008"/>
        <w:gridCol w:w="2008"/>
        <w:gridCol w:w="2008"/>
        <w:gridCol w:w="2008"/>
      </w:tblGrid>
      <w:tr>
        <w:tc>
          <w:tcPr>
            <w:tcW w:type="dxa" w:w="10040"/>
            <w:gridSpan w:val="5"/>
          </w:tcPr>
          <w:p>
            <w:pPr>
              <w:spacing w:line="240" w:lineRule="auto" w:before="0" w:after="0"/>
              <w:jc w:val="center"/>
            </w:pPr>
            <w:r>
              <w:rPr>
                <w:rFonts w:ascii="Times New Roman" w:hAnsi="Times New Roman" w:eastAsia="Times New Roman"/>
                <w:color w:val="000000"/>
                <w:sz w:val="14"/>
              </w:rPr>
              <w:t>COUNTERFACTUAL ΔP_X = (P̂_COUNTERFACTUAL − P̂_BASELINE) AT THE NATIONAL LEVEL</w:t>
            </w:r>
          </w:p>
        </w:tc>
      </w:tr>
      <w:tr>
        <w:tc>
          <w:tcPr>
            <w:tcW w:type="dxa" w:w="2008"/>
          </w:tcPr>
          <w:p>
            <w:pPr>
              <w:spacing w:line="240" w:lineRule="auto" w:before="0" w:after="0"/>
              <w:jc w:val="center"/>
            </w:pPr>
            <w:r>
              <w:rPr>
                <w:rFonts w:ascii="Times New Roman" w:hAnsi="Times New Roman" w:eastAsia="Times New Roman"/>
                <w:b/>
                <w:sz w:val="14"/>
              </w:rPr>
              <w:t>Intervention</w:t>
            </w:r>
          </w:p>
        </w:tc>
        <w:tc>
          <w:tcPr>
            <w:tcW w:type="dxa" w:w="2008"/>
          </w:tcPr>
          <w:p>
            <w:pPr>
              <w:spacing w:line="240" w:lineRule="auto" w:before="0" w:after="0"/>
              <w:jc w:val="center"/>
            </w:pPr>
            <w:r>
              <w:rPr>
                <w:rFonts w:ascii="Times New Roman" w:hAnsi="Times New Roman" w:eastAsia="Times New Roman"/>
                <w:b/>
                <w:sz w:val="14"/>
              </w:rPr>
              <w:t>Operationalization</w:t>
            </w:r>
          </w:p>
        </w:tc>
        <w:tc>
          <w:tcPr>
            <w:tcW w:type="dxa" w:w="2008"/>
          </w:tcPr>
          <w:p>
            <w:pPr>
              <w:spacing w:line="240" w:lineRule="auto" w:before="0" w:after="0"/>
              <w:jc w:val="center"/>
            </w:pPr>
            <w:r>
              <w:rPr>
                <w:rFonts w:ascii="Times New Roman" w:hAnsi="Times New Roman" w:eastAsia="Times New Roman"/>
                <w:b/>
                <w:sz w:val="14"/>
              </w:rPr>
              <w:t>ΔP point</w:t>
            </w:r>
          </w:p>
        </w:tc>
        <w:tc>
          <w:tcPr>
            <w:tcW w:type="dxa" w:w="2008"/>
          </w:tcPr>
          <w:p>
            <w:pPr>
              <w:spacing w:line="240" w:lineRule="auto" w:before="0" w:after="0"/>
              <w:jc w:val="center"/>
            </w:pPr>
            <w:r>
              <w:rPr>
                <w:rFonts w:ascii="Times New Roman" w:hAnsi="Times New Roman" w:eastAsia="Times New Roman"/>
                <w:b/>
                <w:sz w:val="14"/>
              </w:rPr>
              <w:t>95% CI</w:t>
            </w:r>
          </w:p>
        </w:tc>
        <w:tc>
          <w:tcPr>
            <w:tcW w:type="dxa" w:w="2008"/>
          </w:tcPr>
          <w:p>
            <w:pPr>
              <w:spacing w:line="240" w:lineRule="auto" w:before="0" w:after="0"/>
              <w:jc w:val="center"/>
            </w:pPr>
            <w:r>
              <w:rPr>
                <w:rFonts w:ascii="Times New Roman" w:hAnsi="Times New Roman" w:eastAsia="Times New Roman"/>
                <w:b/>
                <w:sz w:val="14"/>
              </w:rPr>
              <w:t>Decision (CI excludes 0?)</w:t>
            </w:r>
          </w:p>
        </w:tc>
      </w:tr>
      <w:tr>
        <w:tc>
          <w:tcPr>
            <w:tcW w:type="dxa" w:w="2008"/>
          </w:tcPr>
          <w:p>
            <w:pPr>
              <w:spacing w:line="240" w:lineRule="auto" w:before="0" w:after="0"/>
              <w:jc w:val="left"/>
            </w:pPr>
            <w:r>
              <w:rPr>
                <w:rFonts w:ascii="Times New Roman" w:hAnsi="Times New Roman" w:eastAsia="Times New Roman"/>
                <w:sz w:val="14"/>
              </w:rPr>
              <w:t>Counterfactual A</w:t>
            </w:r>
          </w:p>
        </w:tc>
        <w:tc>
          <w:tcPr>
            <w:tcW w:type="dxa" w:w="2008"/>
          </w:tcPr>
          <w:p>
            <w:pPr>
              <w:spacing w:line="240" w:lineRule="auto" w:before="0" w:after="0"/>
              <w:jc w:val="left"/>
            </w:pPr>
            <w:r>
              <w:rPr>
                <w:rFonts w:ascii="Times New Roman" w:hAnsi="Times New Roman" w:eastAsia="Times New Roman"/>
                <w:sz w:val="14"/>
              </w:rPr>
              <w:t>do(HH ← HH + 0.3σ; A ← A + 0.3σ; E ← E + 0.3σ)</w:t>
            </w:r>
          </w:p>
        </w:tc>
        <w:tc>
          <w:tcPr>
            <w:tcW w:type="dxa" w:w="2008"/>
          </w:tcPr>
          <w:p>
            <w:pPr>
              <w:spacing w:line="240" w:lineRule="auto" w:before="0" w:after="0"/>
              <w:jc w:val="right"/>
            </w:pPr>
            <w:r>
              <w:rPr>
                <w:rFonts w:ascii="Times New Roman" w:hAnsi="Times New Roman" w:eastAsia="Times New Roman"/>
                <w:sz w:val="14"/>
              </w:rPr>
              <w:t>−0.0061</w:t>
            </w:r>
          </w:p>
        </w:tc>
        <w:tc>
          <w:tcPr>
            <w:tcW w:type="dxa" w:w="2008"/>
          </w:tcPr>
          <w:p>
            <w:pPr>
              <w:spacing w:line="240" w:lineRule="auto" w:before="0" w:after="0"/>
              <w:jc w:val="left"/>
            </w:pPr>
            <w:r>
              <w:rPr>
                <w:rFonts w:ascii="Times New Roman" w:hAnsi="Times New Roman" w:eastAsia="Times New Roman"/>
                <w:sz w:val="14"/>
              </w:rPr>
              <w:t>[−0.0207, +0.0062]</w:t>
            </w:r>
          </w:p>
        </w:tc>
        <w:tc>
          <w:tcPr>
            <w:tcW w:type="dxa" w:w="2008"/>
          </w:tcPr>
          <w:p>
            <w:pPr>
              <w:spacing w:line="240" w:lineRule="auto" w:before="0" w:after="0"/>
              <w:jc w:val="left"/>
            </w:pPr>
            <w:r>
              <w:rPr>
                <w:rFonts w:ascii="Times New Roman" w:hAnsi="Times New Roman" w:eastAsia="Times New Roman"/>
                <w:sz w:val="14"/>
              </w:rPr>
              <w:t>No (null)</w:t>
            </w:r>
          </w:p>
        </w:tc>
      </w:tr>
      <w:tr>
        <w:tc>
          <w:tcPr>
            <w:tcW w:type="dxa" w:w="2008"/>
          </w:tcPr>
          <w:p>
            <w:pPr>
              <w:spacing w:line="240" w:lineRule="auto" w:before="0" w:after="0"/>
              <w:jc w:val="left"/>
            </w:pPr>
            <w:r>
              <w:rPr>
                <w:rFonts w:ascii="Times New Roman" w:hAnsi="Times New Roman" w:eastAsia="Times New Roman"/>
                <w:sz w:val="14"/>
              </w:rPr>
              <w:t>Counterfactual B</w:t>
            </w:r>
          </w:p>
        </w:tc>
        <w:tc>
          <w:tcPr>
            <w:tcW w:type="dxa" w:w="2008"/>
          </w:tcPr>
          <w:p>
            <w:pPr>
              <w:spacing w:line="240" w:lineRule="auto" w:before="0" w:after="0"/>
              <w:jc w:val="left"/>
            </w:pPr>
            <w:r>
              <w:rPr>
                <w:rFonts w:ascii="Times New Roman" w:hAnsi="Times New Roman" w:eastAsia="Times New Roman"/>
                <w:sz w:val="14"/>
              </w:rPr>
              <w:t>do(HH := HH + 0.40σ_HH) for individuals whose baseline cluster ∈ {0, 4, 6}</w:t>
            </w:r>
          </w:p>
        </w:tc>
        <w:tc>
          <w:tcPr>
            <w:tcW w:type="dxa" w:w="2008"/>
          </w:tcPr>
          <w:p>
            <w:pPr>
              <w:spacing w:line="240" w:lineRule="auto" w:before="0" w:after="0"/>
              <w:jc w:val="right"/>
            </w:pPr>
            <w:r>
              <w:rPr>
                <w:rFonts w:ascii="Times New Roman" w:hAnsi="Times New Roman" w:eastAsia="Times New Roman"/>
                <w:sz w:val="14"/>
              </w:rPr>
              <w:t>−0.0059</w:t>
            </w:r>
          </w:p>
        </w:tc>
        <w:tc>
          <w:tcPr>
            <w:tcW w:type="dxa" w:w="2008"/>
          </w:tcPr>
          <w:p>
            <w:pPr>
              <w:spacing w:line="240" w:lineRule="auto" w:before="0" w:after="0"/>
              <w:jc w:val="left"/>
            </w:pPr>
            <w:r>
              <w:rPr>
                <w:rFonts w:ascii="Times New Roman" w:hAnsi="Times New Roman" w:eastAsia="Times New Roman"/>
                <w:sz w:val="14"/>
              </w:rPr>
              <w:t>[−0.0207, +0.0066]</w:t>
            </w:r>
          </w:p>
        </w:tc>
        <w:tc>
          <w:tcPr>
            <w:tcW w:type="dxa" w:w="2008"/>
          </w:tcPr>
          <w:p>
            <w:pPr>
              <w:spacing w:line="240" w:lineRule="auto" w:before="0" w:after="0"/>
              <w:jc w:val="left"/>
            </w:pPr>
            <w:r>
              <w:rPr>
                <w:rFonts w:ascii="Times New Roman" w:hAnsi="Times New Roman" w:eastAsia="Times New Roman"/>
                <w:sz w:val="14"/>
              </w:rPr>
              <w:t>No (null)</w:t>
            </w:r>
          </w:p>
        </w:tc>
      </w:tr>
      <w:tr>
        <w:tc>
          <w:tcPr>
            <w:tcW w:type="dxa" w:w="2008"/>
          </w:tcPr>
          <w:p>
            <w:pPr>
              <w:spacing w:line="240" w:lineRule="auto" w:before="0" w:after="0"/>
              <w:jc w:val="left"/>
            </w:pPr>
            <w:r>
              <w:rPr>
                <w:rFonts w:ascii="Times New Roman" w:hAnsi="Times New Roman" w:eastAsia="Times New Roman"/>
                <w:sz w:val="14"/>
              </w:rPr>
              <w:t>Counterfactual C</w:t>
            </w:r>
          </w:p>
        </w:tc>
        <w:tc>
          <w:tcPr>
            <w:tcW w:type="dxa" w:w="2008"/>
          </w:tcPr>
          <w:p>
            <w:pPr>
              <w:spacing w:line="240" w:lineRule="auto" w:before="0" w:after="0"/>
              <w:jc w:val="left"/>
            </w:pPr>
            <w:r>
              <w:rPr>
                <w:rFonts w:ascii="Times New Roman" w:hAnsi="Times New Roman" w:eastAsia="Times New Roman"/>
                <w:sz w:val="14"/>
              </w:rPr>
              <w:t>do(P_{c, x} ← 0.80 × P_{c, x})</w:t>
            </w:r>
          </w:p>
        </w:tc>
        <w:tc>
          <w:tcPr>
            <w:tcW w:type="dxa" w:w="2008"/>
          </w:tcPr>
          <w:p>
            <w:pPr>
              <w:spacing w:line="240" w:lineRule="auto" w:before="0" w:after="0"/>
              <w:jc w:val="right"/>
            </w:pPr>
            <w:r>
              <w:rPr>
                <w:rFonts w:ascii="Times New Roman" w:hAnsi="Times New Roman" w:eastAsia="Times New Roman"/>
                <w:sz w:val="14"/>
              </w:rPr>
              <w:t>+0.0349</w:t>
            </w:r>
          </w:p>
        </w:tc>
        <w:tc>
          <w:tcPr>
            <w:tcW w:type="dxa" w:w="2008"/>
          </w:tcPr>
          <w:p>
            <w:pPr>
              <w:spacing w:line="240" w:lineRule="auto" w:before="0" w:after="0"/>
              <w:jc w:val="left"/>
            </w:pPr>
            <w:r>
              <w:rPr>
                <w:rFonts w:ascii="Times New Roman" w:hAnsi="Times New Roman" w:eastAsia="Times New Roman"/>
                <w:sz w:val="14"/>
              </w:rPr>
              <w:t>[+0.0264, +0.0435]</w:t>
            </w:r>
          </w:p>
        </w:tc>
        <w:tc>
          <w:tcPr>
            <w:tcW w:type="dxa" w:w="2008"/>
          </w:tcPr>
          <w:p>
            <w:pPr>
              <w:spacing w:line="240" w:lineRule="auto" w:before="0" w:after="0"/>
              <w:jc w:val="left"/>
            </w:pPr>
            <w:r>
              <w:rPr>
                <w:rFonts w:ascii="Times New Roman" w:hAnsi="Times New Roman" w:eastAsia="Times New Roman"/>
                <w:sz w:val="14"/>
              </w:rPr>
              <w:t>Yes (positive)</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B = 2,000 cell-stratified bootstrap. Positive ΔP indicates reduction in prevalence (per pre-registration v2.0 sign convention).</w:t>
      </w:r>
    </w:p>
    <w:p>
      <w:pPr>
        <w:spacing w:line="240" w:lineRule="auto" w:before="0" w:after="0"/>
        <w:ind w:firstLine="180"/>
        <w:jc w:val="both"/>
      </w:pPr>
      <w:r>
        <w:rPr>
          <w:rFonts w:ascii="Times New Roman" w:hAnsi="Times New Roman" w:eastAsia="Times New Roman"/>
          <w:sz w:val="20"/>
        </w:rPr>
        <w:t>The intersection-union test [29] produced one-sided 95% lower bounds L_BA = −0.0011 and L_BC = −0.0544. Because point ΔP_B = −0.0059 is less than point ΔP_C = +0.0349, the priority-1 condition is satisfied and H7 is classified as REVERSAL. We note that the priority-1 trigger uses the ΔP_B point estimate, which is downgraded to exploratory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240" w:lineRule="auto" w:before="0" w:after="0"/>
        <w:ind w:firstLine="180"/>
        <w:jc w:val="both"/>
      </w:pPr>
      <w:r>
        <w:rPr>
          <w:rFonts w:ascii="Times New Roman" w:hAnsi="Times New Roman" w:eastAsia="Times New Roman"/>
          <w:sz w:val="20"/>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240" w:lineRule="auto" w:before="0" w:after="0"/>
        <w:ind w:firstLine="180"/>
        <w:jc w:val="both"/>
      </w:pPr>
      <w:r>
        <w:rPr>
          <w:rFonts w:ascii="Times New Roman" w:hAnsi="Times New Roman" w:eastAsia="Times New Roman"/>
          <w:sz w:val="20"/>
        </w:rPr>
        <w:t>Positivity diagnostic.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exploratory rather than confirmatory; the IUT reading is unaffected (ΔP_B remains null), but conclusions about B's null finding cannot be made with the same confidence as A.</w:t>
      </w:r>
    </w:p>
    <w:p>
      <w:pPr>
        <w:spacing w:line="240" w:lineRule="auto" w:before="80" w:after="40"/>
      </w:pPr>
      <w:r>
        <w:rPr>
          <w:rFonts w:ascii="Times New Roman" w:hAnsi="Times New Roman" w:eastAsia="Times New Roman"/>
          <w:b/>
          <w:color w:val="000000"/>
          <w:sz w:val="20"/>
        </w:rPr>
        <w:t>G. Transportability sensitivity (Stage 8)</w:t>
      </w:r>
    </w:p>
    <w:p>
      <w:pPr>
        <w:spacing w:line="240" w:lineRule="auto" w:before="0" w:after="0"/>
        <w:ind w:firstLine="180"/>
        <w:jc w:val="both"/>
      </w:pPr>
      <w:r>
        <w:rPr>
          <w:rFonts w:ascii="Times New Roman" w:hAnsi="Times New Roman" w:eastAsia="Times New Roman"/>
          <w:sz w:val="20"/>
        </w:rPr>
        <w:t>Per the pre-registered cultural-attenuation sweep, all three ΔP_x bootstrap distributions were multiplied by transportability factor F ∈ {0.3, 0.5, 0.7, 1.0}, and the H7 IUT was re-classified per factor (Table 5).</w:t>
      </w:r>
    </w:p>
    <w:p>
      <w:pPr>
        <w:spacing w:line="240" w:lineRule="auto" w:before="120" w:after="0"/>
        <w:jc w:val="center"/>
      </w:pPr>
      <w:r>
        <w:rPr>
          <w:rFonts w:ascii="Times New Roman" w:hAnsi="Times New Roman" w:eastAsia="Times New Roman"/>
          <w:color w:val="000000"/>
          <w:sz w:val="16"/>
        </w:rPr>
        <w:t>TABLE 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8"/>
        <w:gridCol w:w="2008"/>
        <w:gridCol w:w="2008"/>
        <w:gridCol w:w="2008"/>
        <w:gridCol w:w="2008"/>
      </w:tblGrid>
      <w:tr>
        <w:tc>
          <w:tcPr>
            <w:tcW w:type="dxa" w:w="10040"/>
            <w:gridSpan w:val="5"/>
          </w:tcPr>
          <w:p>
            <w:pPr>
              <w:spacing w:line="240" w:lineRule="auto" w:before="0" w:after="0"/>
              <w:jc w:val="center"/>
            </w:pPr>
            <w:r>
              <w:rPr>
                <w:rFonts w:ascii="Times New Roman" w:hAnsi="Times New Roman" w:eastAsia="Times New Roman"/>
                <w:color w:val="000000"/>
                <w:sz w:val="14"/>
              </w:rPr>
              <w:t>H7 CLASSIFICATION UNDER CULTURAL ATTENUATION FACTORS</w:t>
            </w:r>
          </w:p>
        </w:tc>
      </w:tr>
      <w:tr>
        <w:tc>
          <w:tcPr>
            <w:tcW w:type="dxa" w:w="2008"/>
          </w:tcPr>
          <w:p>
            <w:pPr>
              <w:spacing w:line="240" w:lineRule="auto" w:before="0" w:after="0"/>
              <w:jc w:val="center"/>
            </w:pPr>
            <w:r>
              <w:rPr>
                <w:rFonts w:ascii="Times New Roman" w:hAnsi="Times New Roman" w:eastAsia="Times New Roman"/>
                <w:b/>
                <w:sz w:val="14"/>
              </w:rPr>
              <w:t>Factor F</w:t>
            </w:r>
          </w:p>
        </w:tc>
        <w:tc>
          <w:tcPr>
            <w:tcW w:type="dxa" w:w="2008"/>
          </w:tcPr>
          <w:p>
            <w:pPr>
              <w:spacing w:line="240" w:lineRule="auto" w:before="0" w:after="0"/>
              <w:jc w:val="center"/>
            </w:pPr>
            <w:r>
              <w:rPr>
                <w:rFonts w:ascii="Times New Roman" w:hAnsi="Times New Roman" w:eastAsia="Times New Roman"/>
                <w:b/>
                <w:sz w:val="14"/>
              </w:rPr>
              <w:t>Anchor</w:t>
            </w:r>
          </w:p>
        </w:tc>
        <w:tc>
          <w:tcPr>
            <w:tcW w:type="dxa" w:w="2008"/>
          </w:tcPr>
          <w:p>
            <w:pPr>
              <w:spacing w:line="240" w:lineRule="auto" w:before="0" w:after="0"/>
              <w:jc w:val="center"/>
            </w:pPr>
            <w:r>
              <w:rPr>
                <w:rFonts w:ascii="Times New Roman" w:hAnsi="Times New Roman" w:eastAsia="Times New Roman"/>
                <w:b/>
                <w:sz w:val="14"/>
              </w:rPr>
              <w:t>ΔP_A (attenuated)</w:t>
            </w:r>
          </w:p>
        </w:tc>
        <w:tc>
          <w:tcPr>
            <w:tcW w:type="dxa" w:w="2008"/>
          </w:tcPr>
          <w:p>
            <w:pPr>
              <w:spacing w:line="240" w:lineRule="auto" w:before="0" w:after="0"/>
              <w:jc w:val="center"/>
            </w:pPr>
            <w:r>
              <w:rPr>
                <w:rFonts w:ascii="Times New Roman" w:hAnsi="Times New Roman" w:eastAsia="Times New Roman"/>
                <w:b/>
                <w:sz w:val="14"/>
              </w:rPr>
              <w:t>ΔP_C (attenuated)</w:t>
            </w:r>
          </w:p>
        </w:tc>
        <w:tc>
          <w:tcPr>
            <w:tcW w:type="dxa" w:w="2008"/>
          </w:tcPr>
          <w:p>
            <w:pPr>
              <w:spacing w:line="240" w:lineRule="auto" w:before="0" w:after="0"/>
              <w:jc w:val="center"/>
            </w:pPr>
            <w:r>
              <w:rPr>
                <w:rFonts w:ascii="Times New Roman" w:hAnsi="Times New Roman" w:eastAsia="Times New Roman"/>
                <w:b/>
                <w:sz w:val="14"/>
              </w:rPr>
              <w:t>H7</w:t>
            </w:r>
          </w:p>
        </w:tc>
      </w:tr>
      <w:tr>
        <w:tc>
          <w:tcPr>
            <w:tcW w:type="dxa" w:w="2008"/>
          </w:tcPr>
          <w:p>
            <w:pPr>
              <w:spacing w:line="240" w:lineRule="auto" w:before="0" w:after="0"/>
              <w:jc w:val="left"/>
            </w:pPr>
            <w:r>
              <w:rPr>
                <w:rFonts w:ascii="Times New Roman" w:hAnsi="Times New Roman" w:eastAsia="Times New Roman"/>
                <w:sz w:val="14"/>
              </w:rPr>
              <w:t>0.3</w:t>
            </w:r>
          </w:p>
        </w:tc>
        <w:tc>
          <w:tcPr>
            <w:tcW w:type="dxa" w:w="2008"/>
          </w:tcPr>
          <w:p>
            <w:pPr>
              <w:spacing w:line="240" w:lineRule="auto" w:before="0" w:after="0"/>
              <w:jc w:val="left"/>
            </w:pPr>
            <w:r>
              <w:rPr>
                <w:rFonts w:ascii="Times New Roman" w:hAnsi="Times New Roman" w:eastAsia="Times New Roman"/>
                <w:sz w:val="14"/>
              </w:rPr>
              <w:t>Conservative cross-cultural worst case</w:t>
            </w:r>
          </w:p>
        </w:tc>
        <w:tc>
          <w:tcPr>
            <w:tcW w:type="dxa" w:w="2008"/>
          </w:tcPr>
          <w:p>
            <w:pPr>
              <w:spacing w:line="240" w:lineRule="auto" w:before="0" w:after="0"/>
              <w:jc w:val="right"/>
            </w:pPr>
            <w:r>
              <w:rPr>
                <w:rFonts w:ascii="Times New Roman" w:hAnsi="Times New Roman" w:eastAsia="Times New Roman"/>
                <w:sz w:val="14"/>
              </w:rPr>
              <w:t>−0.0018</w:t>
            </w:r>
          </w:p>
        </w:tc>
        <w:tc>
          <w:tcPr>
            <w:tcW w:type="dxa" w:w="2008"/>
          </w:tcPr>
          <w:p>
            <w:pPr>
              <w:spacing w:line="240" w:lineRule="auto" w:before="0" w:after="0"/>
              <w:jc w:val="right"/>
            </w:pPr>
            <w:r>
              <w:rPr>
                <w:rFonts w:ascii="Times New Roman" w:hAnsi="Times New Roman" w:eastAsia="Times New Roman"/>
                <w:sz w:val="14"/>
              </w:rPr>
              <w:t>+0.0105</w:t>
            </w:r>
          </w:p>
        </w:tc>
        <w:tc>
          <w:tcPr>
            <w:tcW w:type="dxa" w:w="2008"/>
          </w:tcPr>
          <w:p>
            <w:pPr>
              <w:spacing w:line="240" w:lineRule="auto" w:before="0" w:after="0"/>
              <w:jc w:val="left"/>
            </w:pPr>
            <w:r>
              <w:rPr>
                <w:rFonts w:ascii="Times New Roman" w:hAnsi="Times New Roman" w:eastAsia="Times New Roman"/>
                <w:sz w:val="14"/>
              </w:rPr>
              <w:t>REVERSAL</w:t>
            </w:r>
          </w:p>
        </w:tc>
      </w:tr>
      <w:tr>
        <w:tc>
          <w:tcPr>
            <w:tcW w:type="dxa" w:w="2008"/>
          </w:tcPr>
          <w:p>
            <w:pPr>
              <w:spacing w:line="240" w:lineRule="auto" w:before="0" w:after="0"/>
              <w:jc w:val="left"/>
            </w:pPr>
            <w:r>
              <w:rPr>
                <w:rFonts w:ascii="Times New Roman" w:hAnsi="Times New Roman" w:eastAsia="Times New Roman"/>
                <w:sz w:val="14"/>
              </w:rPr>
              <w:t>0.5</w:t>
            </w:r>
          </w:p>
        </w:tc>
        <w:tc>
          <w:tcPr>
            <w:tcW w:type="dxa" w:w="2008"/>
          </w:tcPr>
          <w:p>
            <w:pPr>
              <w:spacing w:line="240" w:lineRule="auto" w:before="0" w:after="0"/>
              <w:jc w:val="left"/>
            </w:pPr>
            <w:r>
              <w:rPr>
                <w:rFonts w:ascii="Times New Roman" w:hAnsi="Times New Roman" w:eastAsia="Times New Roman"/>
                <w:sz w:val="14"/>
              </w:rPr>
              <w:t>Nielsen et al., 2017 expected</w:t>
            </w:r>
          </w:p>
        </w:tc>
        <w:tc>
          <w:tcPr>
            <w:tcW w:type="dxa" w:w="2008"/>
          </w:tcPr>
          <w:p>
            <w:pPr>
              <w:spacing w:line="240" w:lineRule="auto" w:before="0" w:after="0"/>
              <w:jc w:val="right"/>
            </w:pPr>
            <w:r>
              <w:rPr>
                <w:rFonts w:ascii="Times New Roman" w:hAnsi="Times New Roman" w:eastAsia="Times New Roman"/>
                <w:sz w:val="14"/>
              </w:rPr>
              <w:t>−0.0031</w:t>
            </w:r>
          </w:p>
        </w:tc>
        <w:tc>
          <w:tcPr>
            <w:tcW w:type="dxa" w:w="2008"/>
          </w:tcPr>
          <w:p>
            <w:pPr>
              <w:spacing w:line="240" w:lineRule="auto" w:before="0" w:after="0"/>
              <w:jc w:val="right"/>
            </w:pPr>
            <w:r>
              <w:rPr>
                <w:rFonts w:ascii="Times New Roman" w:hAnsi="Times New Roman" w:eastAsia="Times New Roman"/>
                <w:sz w:val="14"/>
              </w:rPr>
              <w:t>+0.0174</w:t>
            </w:r>
          </w:p>
        </w:tc>
        <w:tc>
          <w:tcPr>
            <w:tcW w:type="dxa" w:w="2008"/>
          </w:tcPr>
          <w:p>
            <w:pPr>
              <w:spacing w:line="240" w:lineRule="auto" w:before="0" w:after="0"/>
              <w:jc w:val="left"/>
            </w:pPr>
            <w:r>
              <w:rPr>
                <w:rFonts w:ascii="Times New Roman" w:hAnsi="Times New Roman" w:eastAsia="Times New Roman"/>
                <w:sz w:val="14"/>
              </w:rPr>
              <w:t>REVERSAL</w:t>
            </w:r>
          </w:p>
        </w:tc>
      </w:tr>
      <w:tr>
        <w:tc>
          <w:tcPr>
            <w:tcW w:type="dxa" w:w="2008"/>
          </w:tcPr>
          <w:p>
            <w:pPr>
              <w:spacing w:line="240" w:lineRule="auto" w:before="0" w:after="0"/>
              <w:jc w:val="left"/>
            </w:pPr>
            <w:r>
              <w:rPr>
                <w:rFonts w:ascii="Times New Roman" w:hAnsi="Times New Roman" w:eastAsia="Times New Roman"/>
                <w:sz w:val="14"/>
              </w:rPr>
              <w:t>0.7</w:t>
            </w:r>
          </w:p>
        </w:tc>
        <w:tc>
          <w:tcPr>
            <w:tcW w:type="dxa" w:w="2008"/>
          </w:tcPr>
          <w:p>
            <w:pPr>
              <w:spacing w:line="240" w:lineRule="auto" w:before="0" w:after="0"/>
              <w:jc w:val="left"/>
            </w:pPr>
            <w:r>
              <w:rPr>
                <w:rFonts w:ascii="Times New Roman" w:hAnsi="Times New Roman" w:eastAsia="Times New Roman"/>
                <w:sz w:val="14"/>
              </w:rPr>
              <w:t>Mild attenuation</w:t>
            </w:r>
          </w:p>
        </w:tc>
        <w:tc>
          <w:tcPr>
            <w:tcW w:type="dxa" w:w="2008"/>
          </w:tcPr>
          <w:p>
            <w:pPr>
              <w:spacing w:line="240" w:lineRule="auto" w:before="0" w:after="0"/>
              <w:jc w:val="right"/>
            </w:pPr>
            <w:r>
              <w:rPr>
                <w:rFonts w:ascii="Times New Roman" w:hAnsi="Times New Roman" w:eastAsia="Times New Roman"/>
                <w:sz w:val="14"/>
              </w:rPr>
              <w:t>−0.0043</w:t>
            </w:r>
          </w:p>
        </w:tc>
        <w:tc>
          <w:tcPr>
            <w:tcW w:type="dxa" w:w="2008"/>
          </w:tcPr>
          <w:p>
            <w:pPr>
              <w:spacing w:line="240" w:lineRule="auto" w:before="0" w:after="0"/>
              <w:jc w:val="right"/>
            </w:pPr>
            <w:r>
              <w:rPr>
                <w:rFonts w:ascii="Times New Roman" w:hAnsi="Times New Roman" w:eastAsia="Times New Roman"/>
                <w:sz w:val="14"/>
              </w:rPr>
              <w:t>+0.0244</w:t>
            </w:r>
          </w:p>
        </w:tc>
        <w:tc>
          <w:tcPr>
            <w:tcW w:type="dxa" w:w="2008"/>
          </w:tcPr>
          <w:p>
            <w:pPr>
              <w:spacing w:line="240" w:lineRule="auto" w:before="0" w:after="0"/>
              <w:jc w:val="left"/>
            </w:pPr>
            <w:r>
              <w:rPr>
                <w:rFonts w:ascii="Times New Roman" w:hAnsi="Times New Roman" w:eastAsia="Times New Roman"/>
                <w:sz w:val="14"/>
              </w:rPr>
              <w:t>REVERSAL</w:t>
            </w:r>
          </w:p>
        </w:tc>
      </w:tr>
      <w:tr>
        <w:tc>
          <w:tcPr>
            <w:tcW w:type="dxa" w:w="2008"/>
          </w:tcPr>
          <w:p>
            <w:pPr>
              <w:spacing w:line="240" w:lineRule="auto" w:before="0" w:after="0"/>
              <w:jc w:val="left"/>
            </w:pPr>
            <w:r>
              <w:rPr>
                <w:rFonts w:ascii="Times New Roman" w:hAnsi="Times New Roman" w:eastAsia="Times New Roman"/>
                <w:sz w:val="14"/>
              </w:rPr>
              <w:t>1.0</w:t>
            </w:r>
          </w:p>
        </w:tc>
        <w:tc>
          <w:tcPr>
            <w:tcW w:type="dxa" w:w="2008"/>
          </w:tcPr>
          <w:p>
            <w:pPr>
              <w:spacing w:line="240" w:lineRule="auto" w:before="0" w:after="0"/>
              <w:jc w:val="left"/>
            </w:pPr>
            <w:r>
              <w:rPr>
                <w:rFonts w:ascii="Times New Roman" w:hAnsi="Times New Roman" w:eastAsia="Times New Roman"/>
                <w:sz w:val="14"/>
              </w:rPr>
              <w:t>Reference (no attenuation)</w:t>
            </w:r>
          </w:p>
        </w:tc>
        <w:tc>
          <w:tcPr>
            <w:tcW w:type="dxa" w:w="2008"/>
          </w:tcPr>
          <w:p>
            <w:pPr>
              <w:spacing w:line="240" w:lineRule="auto" w:before="0" w:after="0"/>
              <w:jc w:val="right"/>
            </w:pPr>
            <w:r>
              <w:rPr>
                <w:rFonts w:ascii="Times New Roman" w:hAnsi="Times New Roman" w:eastAsia="Times New Roman"/>
                <w:sz w:val="14"/>
              </w:rPr>
              <w:t>−0.0061</w:t>
            </w:r>
          </w:p>
        </w:tc>
        <w:tc>
          <w:tcPr>
            <w:tcW w:type="dxa" w:w="2008"/>
          </w:tcPr>
          <w:p>
            <w:pPr>
              <w:spacing w:line="240" w:lineRule="auto" w:before="0" w:after="0"/>
              <w:jc w:val="right"/>
            </w:pPr>
            <w:r>
              <w:rPr>
                <w:rFonts w:ascii="Times New Roman" w:hAnsi="Times New Roman" w:eastAsia="Times New Roman"/>
                <w:sz w:val="14"/>
              </w:rPr>
              <w:t>+0.0349</w:t>
            </w:r>
          </w:p>
        </w:tc>
        <w:tc>
          <w:tcPr>
            <w:tcW w:type="dxa" w:w="2008"/>
          </w:tcPr>
          <w:p>
            <w:pPr>
              <w:spacing w:line="240" w:lineRule="auto" w:before="0" w:after="0"/>
              <w:jc w:val="left"/>
            </w:pPr>
            <w:r>
              <w:rPr>
                <w:rFonts w:ascii="Times New Roman" w:hAnsi="Times New Roman" w:eastAsia="Times New Roman"/>
                <w:sz w:val="14"/>
              </w:rPr>
              <w:t>REVERSAL</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Each row uses the same H7 IUT procedure on attenuated bootstrap distributions.</w:t>
      </w:r>
    </w:p>
    <w:p>
      <w:pPr>
        <w:spacing w:line="240" w:lineRule="auto" w:before="0" w:after="0"/>
        <w:ind w:firstLine="180"/>
        <w:jc w:val="both"/>
      </w:pPr>
      <w:r>
        <w:rPr>
          <w:rFonts w:ascii="Times New Roman" w:hAnsi="Times New Roman" w:eastAsia="Times New Roman"/>
          <w:sz w:val="20"/>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240" w:lineRule="auto" w:before="80" w:after="40"/>
      </w:pPr>
      <w:r>
        <w:rPr>
          <w:rFonts w:ascii="Times New Roman" w:hAnsi="Times New Roman" w:eastAsia="Times New Roman"/>
          <w:b/>
          <w:color w:val="000000"/>
          <w:sz w:val="20"/>
        </w:rPr>
        <w:t>H. Summary of pre-registered hypothesis outcomes</w:t>
      </w:r>
    </w:p>
    <w:p>
      <w:pPr>
        <w:spacing w:line="240" w:lineRule="auto" w:before="120" w:after="0"/>
        <w:jc w:val="center"/>
      </w:pPr>
      <w:r>
        <w:rPr>
          <w:rFonts w:ascii="Times New Roman" w:hAnsi="Times New Roman" w:eastAsia="Times New Roman"/>
          <w:color w:val="000000"/>
          <w:sz w:val="16"/>
        </w:rPr>
        <w:t>TABLE VI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0"/>
        <w:gridCol w:w="2510"/>
        <w:gridCol w:w="2510"/>
        <w:gridCol w:w="2510"/>
      </w:tblGrid>
      <w:tr>
        <w:tc>
          <w:tcPr>
            <w:tcW w:type="dxa" w:w="10040"/>
            <w:gridSpan w:val="4"/>
          </w:tcPr>
          <w:p>
            <w:pPr>
              <w:spacing w:line="240" w:lineRule="auto" w:before="0" w:after="0"/>
              <w:jc w:val="center"/>
            </w:pPr>
            <w:r>
              <w:rPr>
                <w:rFonts w:ascii="Times New Roman" w:hAnsi="Times New Roman" w:eastAsia="Times New Roman"/>
                <w:color w:val="000000"/>
                <w:sz w:val="14"/>
              </w:rPr>
              <w:t>PRE-REGISTERED HYPOTHESIS OUTCOMES SUMMARY</w:t>
            </w:r>
          </w:p>
        </w:tc>
      </w:tr>
      <w:tr>
        <w:tc>
          <w:tcPr>
            <w:tcW w:type="dxa" w:w="2510"/>
          </w:tcPr>
          <w:p>
            <w:pPr>
              <w:spacing w:line="240" w:lineRule="auto" w:before="0" w:after="0"/>
              <w:jc w:val="center"/>
            </w:pPr>
            <w:r>
              <w:rPr>
                <w:rFonts w:ascii="Times New Roman" w:hAnsi="Times New Roman" w:eastAsia="Times New Roman"/>
                <w:b/>
                <w:sz w:val="14"/>
              </w:rPr>
              <w:t>Hypothesis</w:t>
            </w:r>
          </w:p>
        </w:tc>
        <w:tc>
          <w:tcPr>
            <w:tcW w:type="dxa" w:w="2510"/>
          </w:tcPr>
          <w:p>
            <w:pPr>
              <w:spacing w:line="240" w:lineRule="auto" w:before="0" w:after="0"/>
              <w:jc w:val="center"/>
            </w:pPr>
            <w:r>
              <w:rPr>
                <w:rFonts w:ascii="Times New Roman" w:hAnsi="Times New Roman" w:eastAsia="Times New Roman"/>
                <w:b/>
                <w:sz w:val="14"/>
              </w:rPr>
              <w:t>Pre-registered prediction</w:t>
            </w:r>
          </w:p>
        </w:tc>
        <w:tc>
          <w:tcPr>
            <w:tcW w:type="dxa" w:w="2510"/>
          </w:tcPr>
          <w:p>
            <w:pPr>
              <w:spacing w:line="240" w:lineRule="auto" w:before="0" w:after="0"/>
              <w:jc w:val="center"/>
            </w:pPr>
            <w:r>
              <w:rPr>
                <w:rFonts w:ascii="Times New Roman" w:hAnsi="Times New Roman" w:eastAsia="Times New Roman"/>
                <w:b/>
                <w:sz w:val="14"/>
              </w:rPr>
              <w:t>Outcome</w:t>
            </w:r>
          </w:p>
        </w:tc>
        <w:tc>
          <w:tcPr>
            <w:tcW w:type="dxa" w:w="2510"/>
          </w:tcPr>
          <w:p>
            <w:pPr>
              <w:spacing w:line="240" w:lineRule="auto" w:before="0" w:after="0"/>
              <w:jc w:val="center"/>
            </w:pPr>
            <w:r>
              <w:rPr>
                <w:rFonts w:ascii="Times New Roman" w:hAnsi="Times New Roman" w:eastAsia="Times New Roman"/>
                <w:b/>
                <w:sz w:val="14"/>
              </w:rPr>
              <w:t>Tier</w:t>
            </w:r>
          </w:p>
        </w:tc>
      </w:tr>
      <w:tr>
        <w:tc>
          <w:tcPr>
            <w:tcW w:type="dxa" w:w="2510"/>
          </w:tcPr>
          <w:p>
            <w:pPr>
              <w:spacing w:line="240" w:lineRule="auto" w:before="0" w:after="0"/>
              <w:jc w:val="left"/>
            </w:pPr>
            <w:r>
              <w:rPr>
                <w:rFonts w:ascii="Times New Roman" w:hAnsi="Times New Roman" w:eastAsia="Times New Roman"/>
                <w:sz w:val="14"/>
              </w:rPr>
              <w:t>H1</w:t>
            </w:r>
          </w:p>
        </w:tc>
        <w:tc>
          <w:tcPr>
            <w:tcW w:type="dxa" w:w="2510"/>
          </w:tcPr>
          <w:p>
            <w:pPr>
              <w:spacing w:line="240" w:lineRule="auto" w:before="0" w:after="0"/>
              <w:jc w:val="left"/>
            </w:pPr>
            <w:r>
              <w:rPr>
                <w:rFonts w:ascii="Times New Roman" w:hAnsi="Times New Roman" w:eastAsia="Times New Roman"/>
                <w:sz w:val="14"/>
              </w:rPr>
              <w:t>MAPE_FY2016 ≤ 30% (Strict / Standard SUCCESS)</w:t>
            </w:r>
          </w:p>
        </w:tc>
        <w:tc>
          <w:tcPr>
            <w:tcW w:type="dxa" w:w="2510"/>
          </w:tcPr>
          <w:p>
            <w:pPr>
              <w:spacing w:line="240" w:lineRule="auto" w:before="0" w:after="0"/>
              <w:jc w:val="left"/>
            </w:pPr>
            <w:r>
              <w:rPr>
                <w:rFonts w:ascii="Times New Roman" w:hAnsi="Times New Roman" w:eastAsia="Times New Roman"/>
                <w:sz w:val="14"/>
              </w:rPr>
              <w:t>MAPE = 46.34%</w:t>
            </w:r>
          </w:p>
        </w:tc>
        <w:tc>
          <w:tcPr>
            <w:tcW w:type="dxa" w:w="2510"/>
          </w:tcPr>
          <w:p>
            <w:pPr>
              <w:spacing w:line="240" w:lineRule="auto" w:before="0" w:after="0"/>
              <w:jc w:val="left"/>
            </w:pPr>
            <w:r>
              <w:rPr>
                <w:rFonts w:ascii="Times New Roman" w:hAnsi="Times New Roman" w:eastAsia="Times New Roman"/>
                <w:sz w:val="14"/>
              </w:rPr>
              <w:t>PARTIAL SUCCESS</w:t>
            </w:r>
          </w:p>
        </w:tc>
      </w:tr>
      <w:tr>
        <w:tc>
          <w:tcPr>
            <w:tcW w:type="dxa" w:w="2510"/>
          </w:tcPr>
          <w:p>
            <w:pPr>
              <w:spacing w:line="240" w:lineRule="auto" w:before="0" w:after="0"/>
              <w:jc w:val="left"/>
            </w:pPr>
            <w:r>
              <w:rPr>
                <w:rFonts w:ascii="Times New Roman" w:hAnsi="Times New Roman" w:eastAsia="Times New Roman"/>
                <w:sz w:val="14"/>
              </w:rPr>
              <w:t>H2</w:t>
            </w:r>
          </w:p>
        </w:tc>
        <w:tc>
          <w:tcPr>
            <w:tcW w:type="dxa" w:w="2510"/>
          </w:tcPr>
          <w:p>
            <w:pPr>
              <w:spacing w:line="240" w:lineRule="auto" w:before="0" w:after="0"/>
              <w:jc w:val="left"/>
            </w:pPr>
            <w:r>
              <w:rPr>
                <w:rFonts w:ascii="Times New Roman" w:hAnsi="Times New Roman" w:eastAsia="Times New Roman"/>
                <w:sz w:val="14"/>
              </w:rPr>
              <w:t>Monotonic B0 &gt; B1 &gt; B2 &gt; B3 &gt; B4</w:t>
            </w:r>
          </w:p>
        </w:tc>
        <w:tc>
          <w:tcPr>
            <w:tcW w:type="dxa" w:w="2510"/>
          </w:tcPr>
          <w:p>
            <w:pPr>
              <w:spacing w:line="240" w:lineRule="auto" w:before="0" w:after="0"/>
              <w:jc w:val="left"/>
            </w:pPr>
            <w:r>
              <w:rPr>
                <w:rFonts w:ascii="Times New Roman" w:hAnsi="Times New Roman" w:eastAsia="Times New Roman"/>
                <w:sz w:val="14"/>
              </w:rPr>
              <w:t>0 of 4 pairs confirmed (Page's L p = 0.976)</w:t>
            </w:r>
          </w:p>
        </w:tc>
        <w:tc>
          <w:tcPr>
            <w:tcW w:type="dxa" w:w="2510"/>
          </w:tcPr>
          <w:p>
            <w:pPr>
              <w:spacing w:line="240" w:lineRule="auto" w:before="0" w:after="0"/>
              <w:jc w:val="left"/>
            </w:pPr>
            <w:r>
              <w:rPr>
                <w:rFonts w:ascii="Times New Roman" w:hAnsi="Times New Roman" w:eastAsia="Times New Roman"/>
                <w:sz w:val="14"/>
              </w:rPr>
              <w:t>REJECTED</w:t>
            </w:r>
          </w:p>
        </w:tc>
      </w:tr>
      <w:tr>
        <w:tc>
          <w:tcPr>
            <w:tcW w:type="dxa" w:w="2510"/>
          </w:tcPr>
          <w:p>
            <w:pPr>
              <w:spacing w:line="240" w:lineRule="auto" w:before="0" w:after="0"/>
              <w:jc w:val="left"/>
            </w:pPr>
            <w:r>
              <w:rPr>
                <w:rFonts w:ascii="Times New Roman" w:hAnsi="Times New Roman" w:eastAsia="Times New Roman"/>
                <w:sz w:val="14"/>
              </w:rPr>
              <w:t>H3</w:t>
            </w:r>
          </w:p>
        </w:tc>
        <w:tc>
          <w:tcPr>
            <w:tcW w:type="dxa" w:w="2510"/>
          </w:tcPr>
          <w:p>
            <w:pPr>
              <w:spacing w:line="240" w:lineRule="auto" w:before="0" w:after="0"/>
              <w:jc w:val="left"/>
            </w:pPr>
            <w:r>
              <w:rPr>
                <w:rFonts w:ascii="Times New Roman" w:hAnsi="Times New Roman" w:eastAsia="Times New Roman"/>
                <w:sz w:val="14"/>
              </w:rPr>
              <w:t>Centroid concordance N=354 vs N=13,668</w:t>
            </w:r>
          </w:p>
        </w:tc>
        <w:tc>
          <w:tcPr>
            <w:tcW w:type="dxa" w:w="2510"/>
          </w:tcPr>
          <w:p>
            <w:pPr>
              <w:spacing w:line="240" w:lineRule="auto" w:before="0" w:after="0"/>
              <w:jc w:val="left"/>
            </w:pPr>
            <w:r>
              <w:rPr>
                <w:rFonts w:ascii="Times New Roman" w:hAnsi="Times New Roman" w:eastAsia="Times New Roman"/>
                <w:sz w:val="14"/>
              </w:rPr>
              <w:t>Externally validated in Tokiwa [13] via stability analyses on the N=13,668 source sample; not separately re-tested in the present N=354 pipeline</w:t>
            </w:r>
          </w:p>
        </w:tc>
        <w:tc>
          <w:tcPr>
            <w:tcW w:type="dxa" w:w="2510"/>
          </w:tcPr>
          <w:p>
            <w:pPr>
              <w:spacing w:line="240" w:lineRule="auto" w:before="0" w:after="0"/>
              <w:jc w:val="left"/>
            </w:pPr>
            <w:r>
              <w:rPr>
                <w:rFonts w:ascii="Times New Roman" w:hAnsi="Times New Roman" w:eastAsia="Times New Roman"/>
                <w:sz w:val="14"/>
              </w:rPr>
              <w:t>Externally Confirmed</w:t>
            </w:r>
          </w:p>
        </w:tc>
      </w:tr>
      <w:tr>
        <w:tc>
          <w:tcPr>
            <w:tcW w:type="dxa" w:w="2510"/>
          </w:tcPr>
          <w:p>
            <w:pPr>
              <w:spacing w:line="240" w:lineRule="auto" w:before="0" w:after="0"/>
              <w:jc w:val="left"/>
            </w:pPr>
            <w:r>
              <w:rPr>
                <w:rFonts w:ascii="Times New Roman" w:hAnsi="Times New Roman" w:eastAsia="Times New Roman"/>
                <w:sz w:val="14"/>
              </w:rPr>
              <w:t>H4</w:t>
            </w:r>
          </w:p>
        </w:tc>
        <w:tc>
          <w:tcPr>
            <w:tcW w:type="dxa" w:w="2510"/>
          </w:tcPr>
          <w:p>
            <w:pPr>
              <w:spacing w:line="240" w:lineRule="auto" w:before="0" w:after="0"/>
              <w:jc w:val="left"/>
            </w:pPr>
            <w:r>
              <w:rPr>
                <w:rFonts w:ascii="Times New Roman" w:hAnsi="Times New Roman" w:eastAsia="Times New Roman"/>
                <w:sz w:val="14"/>
              </w:rPr>
              <w:t>Per-cell propensity stability across bootstrap procedures</w:t>
            </w:r>
          </w:p>
        </w:tc>
        <w:tc>
          <w:tcPr>
            <w:tcW w:type="dxa" w:w="2510"/>
          </w:tcPr>
          <w:p>
            <w:pPr>
              <w:spacing w:line="240" w:lineRule="auto" w:before="0" w:after="0"/>
              <w:jc w:val="left"/>
            </w:pPr>
            <w:r>
              <w:rPr>
                <w:rFonts w:ascii="Times New Roman" w:hAnsi="Times New Roman" w:eastAsia="Times New Roman"/>
                <w:sz w:val="14"/>
              </w:rPr>
              <w:t>13/14 cells resolved at BCa; 1 degenerate cell (X=0) at Clopper-Pearson per the pre-registered cascade</w:t>
            </w:r>
          </w:p>
        </w:tc>
        <w:tc>
          <w:tcPr>
            <w:tcW w:type="dxa" w:w="2510"/>
          </w:tcPr>
          <w:p>
            <w:pPr>
              <w:spacing w:line="240" w:lineRule="auto" w:before="0" w:after="0"/>
              <w:jc w:val="left"/>
            </w:pPr>
            <w:r>
              <w:rPr>
                <w:rFonts w:ascii="Times New Roman" w:hAnsi="Times New Roman" w:eastAsia="Times New Roman"/>
                <w:sz w:val="14"/>
              </w:rPr>
              <w:t>CONFIRMED</w:t>
            </w:r>
          </w:p>
        </w:tc>
      </w:tr>
      <w:tr>
        <w:tc>
          <w:tcPr>
            <w:tcW w:type="dxa" w:w="2510"/>
          </w:tcPr>
          <w:p>
            <w:pPr>
              <w:spacing w:line="240" w:lineRule="auto" w:before="0" w:after="0"/>
              <w:jc w:val="left"/>
            </w:pPr>
            <w:r>
              <w:rPr>
                <w:rFonts w:ascii="Times New Roman" w:hAnsi="Times New Roman" w:eastAsia="Times New Roman"/>
                <w:sz w:val="14"/>
              </w:rPr>
              <w:t>H5</w:t>
            </w:r>
          </w:p>
        </w:tc>
        <w:tc>
          <w:tcPr>
            <w:tcW w:type="dxa" w:w="2510"/>
          </w:tcPr>
          <w:p>
            <w:pPr>
              <w:spacing w:line="240" w:lineRule="auto" w:before="0" w:after="0"/>
              <w:jc w:val="left"/>
            </w:pPr>
            <w:r>
              <w:rPr>
                <w:rFonts w:ascii="Times New Roman" w:hAnsi="Times New Roman" w:eastAsia="Times New Roman"/>
                <w:sz w:val="14"/>
              </w:rPr>
              <w:t>Gender invariance</w:t>
            </w:r>
          </w:p>
        </w:tc>
        <w:tc>
          <w:tcPr>
            <w:tcW w:type="dxa" w:w="2510"/>
          </w:tcPr>
          <w:p>
            <w:pPr>
              <w:spacing w:line="240" w:lineRule="auto" w:before="0" w:after="0"/>
              <w:jc w:val="left"/>
            </w:pPr>
            <w:r>
              <w:rPr>
                <w:rFonts w:ascii="Times New Roman" w:hAnsi="Times New Roman" w:eastAsia="Times New Roman"/>
                <w:sz w:val="14"/>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510"/>
          </w:tcPr>
          <w:p>
            <w:pPr>
              <w:spacing w:line="240" w:lineRule="auto" w:before="0" w:after="0"/>
              <w:jc w:val="left"/>
            </w:pPr>
            <w:r>
              <w:rPr>
                <w:rFonts w:ascii="Times New Roman" w:hAnsi="Times New Roman" w:eastAsia="Times New Roman"/>
                <w:sz w:val="14"/>
              </w:rPr>
              <w:t>CONFIRMED</w:t>
            </w:r>
          </w:p>
        </w:tc>
      </w:tr>
      <w:tr>
        <w:tc>
          <w:tcPr>
            <w:tcW w:type="dxa" w:w="2510"/>
          </w:tcPr>
          <w:p>
            <w:pPr>
              <w:spacing w:line="240" w:lineRule="auto" w:before="0" w:after="0"/>
              <w:jc w:val="left"/>
            </w:pPr>
            <w:r>
              <w:rPr>
                <w:rFonts w:ascii="Times New Roman" w:hAnsi="Times New Roman" w:eastAsia="Times New Roman"/>
                <w:sz w:val="14"/>
              </w:rPr>
              <w:t>H6</w:t>
            </w:r>
          </w:p>
        </w:tc>
        <w:tc>
          <w:tcPr>
            <w:tcW w:type="dxa" w:w="2510"/>
          </w:tcPr>
          <w:p>
            <w:pPr>
              <w:spacing w:line="240" w:lineRule="auto" w:before="0" w:after="0"/>
              <w:jc w:val="left"/>
            </w:pPr>
            <w:r>
              <w:rPr>
                <w:rFonts w:ascii="Times New Roman" w:hAnsi="Times New Roman" w:eastAsia="Times New Roman"/>
                <w:sz w:val="14"/>
              </w:rPr>
              <w:t>Power × gender harassment cluster ranking concordance</w:t>
            </w:r>
          </w:p>
        </w:tc>
        <w:tc>
          <w:tcPr>
            <w:tcW w:type="dxa" w:w="2510"/>
          </w:tcPr>
          <w:p>
            <w:pPr>
              <w:spacing w:line="240" w:lineRule="auto" w:before="0" w:after="0"/>
              <w:jc w:val="left"/>
            </w:pPr>
            <w:r>
              <w:rPr>
                <w:rFonts w:ascii="Times New Roman" w:hAnsi="Times New Roman" w:eastAsia="Times New Roman"/>
                <w:sz w:val="14"/>
              </w:rPr>
              <w:t>Weak concordance (Spearman ρ = 0.04 at 7-cluster level, p = 0.94; ρ = 0.14 at 14-cell level, p = 0.62)</w:t>
            </w:r>
          </w:p>
        </w:tc>
        <w:tc>
          <w:tcPr>
            <w:tcW w:type="dxa" w:w="2510"/>
          </w:tcPr>
          <w:p>
            <w:pPr>
              <w:spacing w:line="240" w:lineRule="auto" w:before="0" w:after="0"/>
              <w:jc w:val="left"/>
            </w:pPr>
            <w:r>
              <w:rPr>
                <w:rFonts w:ascii="Times New Roman" w:hAnsi="Times New Roman" w:eastAsia="Times New Roman"/>
                <w:sz w:val="14"/>
              </w:rPr>
              <w:t>REJECTED</w:t>
            </w:r>
          </w:p>
        </w:tc>
      </w:tr>
      <w:tr>
        <w:tc>
          <w:tcPr>
            <w:tcW w:type="dxa" w:w="2510"/>
          </w:tcPr>
          <w:p>
            <w:pPr>
              <w:spacing w:line="240" w:lineRule="auto" w:before="0" w:after="0"/>
              <w:jc w:val="left"/>
            </w:pPr>
            <w:r>
              <w:rPr>
                <w:rFonts w:ascii="Times New Roman" w:hAnsi="Times New Roman" w:eastAsia="Times New Roman"/>
                <w:sz w:val="14"/>
              </w:rPr>
              <w:t>H7</w:t>
            </w:r>
          </w:p>
        </w:tc>
        <w:tc>
          <w:tcPr>
            <w:tcW w:type="dxa" w:w="2510"/>
          </w:tcPr>
          <w:p>
            <w:pPr>
              <w:spacing w:line="240" w:lineRule="auto" w:before="0" w:after="0"/>
              <w:jc w:val="left"/>
            </w:pPr>
            <w:r>
              <w:rPr>
                <w:rFonts w:ascii="Times New Roman" w:hAnsi="Times New Roman" w:eastAsia="Times New Roman"/>
                <w:sz w:val="14"/>
              </w:rPr>
              <w:t>IUT classification</w:t>
            </w:r>
          </w:p>
        </w:tc>
        <w:tc>
          <w:tcPr>
            <w:tcW w:type="dxa" w:w="2510"/>
          </w:tcPr>
          <w:p>
            <w:pPr>
              <w:spacing w:line="240" w:lineRule="auto" w:before="0" w:after="0"/>
              <w:jc w:val="left"/>
            </w:pPr>
            <w:r>
              <w:rPr>
                <w:rFonts w:ascii="Times New Roman" w:hAnsi="Times New Roman" w:eastAsia="Times New Roman"/>
                <w:sz w:val="14"/>
              </w:rPr>
              <w:t>REVERSAL (robust across F = 0.3–1.0)</w:t>
            </w:r>
          </w:p>
        </w:tc>
        <w:tc>
          <w:tcPr>
            <w:tcW w:type="dxa" w:w="2510"/>
          </w:tcPr>
          <w:p>
            <w:pPr>
              <w:spacing w:line="240" w:lineRule="auto" w:before="0" w:after="0"/>
              <w:jc w:val="left"/>
            </w:pPr>
            <w:r>
              <w:rPr>
                <w:rFonts w:ascii="Times New Roman" w:hAnsi="Times New Roman" w:eastAsia="Times New Roman"/>
                <w:sz w:val="14"/>
              </w:rPr>
              <w:t>REVERSAL (per pre-registered classification)</w:t>
            </w:r>
          </w:p>
        </w:tc>
      </w:tr>
    </w:tbl>
    <w:p>
      <w:pPr>
        <w:spacing w:line="240" w:lineRule="auto" w:before="0" w:after="0"/>
        <w:ind w:firstLine="180"/>
        <w:jc w:val="both"/>
      </w:pPr>
      <w:r>
        <w:rPr>
          <w:rFonts w:ascii="Times New Roman" w:hAnsi="Times New Roman" w:eastAsia="Times New Roman"/>
          <w:sz w:val="20"/>
        </w:rPr>
        <w:t>The headline empirical finding is the H7 = REVERSAL classification with cross-cultural robustness, which we develop substantively in the Discussion.</w:t>
      </w:r>
    </w:p>
    <w:p>
      <w:pPr>
        <w:spacing w:line="240" w:lineRule="auto" w:before="160" w:after="80"/>
        <w:jc w:val="left"/>
      </w:pPr>
      <w:r>
        <w:rPr>
          <w:rFonts w:ascii="Helvetica Neue" w:hAnsi="Helvetica Neue" w:eastAsia="Helvetica Neue"/>
          <w:b/>
          <w:color w:val="00629B"/>
          <w:sz w:val="18"/>
        </w:rPr>
        <w:t>V. DISCUSSION</w:t>
      </w:r>
    </w:p>
    <w:p>
      <w:pPr>
        <w:spacing w:line="240" w:lineRule="auto" w:before="80" w:after="40"/>
      </w:pPr>
      <w:r>
        <w:rPr>
          <w:rFonts w:ascii="Times New Roman" w:hAnsi="Times New Roman" w:eastAsia="Times New Roman"/>
          <w:b/>
          <w:color w:val="000000"/>
          <w:sz w:val="20"/>
        </w:rPr>
        <w:t>A. Principal findings</w:t>
      </w:r>
    </w:p>
    <w:p>
      <w:pPr>
        <w:spacing w:line="240" w:lineRule="auto" w:before="0" w:after="0"/>
        <w:ind w:firstLine="180"/>
        <w:jc w:val="both"/>
      </w:pPr>
      <w:r>
        <w:rPr>
          <w:rFonts w:ascii="Times New Roman" w:hAnsi="Times New Roman" w:eastAsia="Times New Roman"/>
          <w:sz w:val="20"/>
        </w:rPr>
        <w:t>Three findings stand out from the pre-registered analysis pipeline:</w:t>
      </w:r>
    </w:p>
    <w:p>
      <w:pPr>
        <w:spacing w:line="240" w:lineRule="auto" w:before="0" w:after="0"/>
        <w:ind w:firstLine="180"/>
        <w:jc w:val="both"/>
      </w:pPr>
      <w:r>
        <w:rPr>
          <w:rFonts w:ascii="Times New Roman" w:hAnsi="Times New Roman" w:eastAsia="Times New Roman"/>
          <w:sz w:val="20"/>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240" w:lineRule="auto" w:before="0" w:after="0"/>
        <w:ind w:firstLine="180"/>
        <w:jc w:val="both"/>
      </w:pPr>
      <w:r>
        <w:rPr>
          <w:rFonts w:ascii="Times New Roman" w:hAnsi="Times New Roman" w:eastAsia="Times New Roman"/>
          <w:sz w:val="20"/>
        </w:rPr>
        <w:t>Finding 2: H7 = REVERSAL — the structural-intervention contrast exceeds the personality-intervention contrast in absolute magnitude.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240" w:lineRule="auto" w:before="0" w:after="0"/>
        <w:ind w:firstLine="180"/>
        <w:jc w:val="both"/>
      </w:pPr>
      <w:r>
        <w:rPr>
          <w:rFonts w:ascii="Times New Roman" w:hAnsi="Times New Roman" w:eastAsia="Times New Roman"/>
          <w:sz w:val="20"/>
        </w:rPr>
        <w:t>Finding 3: The data are consistent with treating HEXACO 7-typology as a stratification variable rather than an intervention target. The Counterfactual A null result (ΔP_A = −0.0061, 95% CI crosses zero) indicates that shifting individual HEXACO scores by the realistic training-effect magnitudes drawn from Hudson and Fraley (2015) and Roberts et al. [20]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240" w:lineRule="auto" w:before="80" w:after="40"/>
      </w:pPr>
      <w:r>
        <w:rPr>
          <w:rFonts w:ascii="Times New Roman" w:hAnsi="Times New Roman" w:eastAsia="Times New Roman"/>
          <w:b/>
          <w:color w:val="000000"/>
          <w:sz w:val="20"/>
        </w:rPr>
        <w:t>B. The MHLW survey series as substantive context</w:t>
      </w:r>
    </w:p>
    <w:p>
      <w:pPr>
        <w:spacing w:line="240" w:lineRule="auto" w:before="0" w:after="0"/>
        <w:ind w:firstLine="180"/>
        <w:jc w:val="both"/>
      </w:pPr>
      <w:r>
        <w:rPr>
          <w:rFonts w:ascii="Times New Roman" w:hAnsi="Times New Roman" w:eastAsia="Times New Roman"/>
          <w:sz w:val="20"/>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240" w:lineRule="auto" w:before="0" w:after="0"/>
        <w:ind w:firstLine="180"/>
        <w:jc w:val="both"/>
      </w:pPr>
      <w:r>
        <w:rPr>
          <w:rFonts w:ascii="Times New Roman" w:hAnsi="Times New Roman" w:eastAsia="Times New Roman"/>
          <w:sz w:val="20"/>
        </w:rPr>
        <w:t>The latter is implausible on demographic grounds: cohort-level changes in HEXACO traits over six years are unlikely to exceed 0.05 SD. Counterfactual A, which models a six times larger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240" w:lineRule="auto" w:before="80" w:after="40"/>
      </w:pPr>
      <w:r>
        <w:rPr>
          <w:rFonts w:ascii="Times New Roman" w:hAnsi="Times New Roman" w:eastAsia="Times New Roman"/>
          <w:b/>
          <w:color w:val="000000"/>
          <w:sz w:val="20"/>
        </w:rPr>
        <w:t>C. Reframing HEXACO: stratification rather than modification</w:t>
      </w:r>
    </w:p>
    <w:p>
      <w:pPr>
        <w:spacing w:line="240" w:lineRule="auto" w:before="0" w:after="0"/>
        <w:ind w:firstLine="180"/>
        <w:jc w:val="both"/>
      </w:pPr>
      <w:r>
        <w:rPr>
          <w:rFonts w:ascii="Times New Roman" w:hAnsi="Times New Roman" w:eastAsia="Times New Roman"/>
          <w:sz w:val="20"/>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240" w:lineRule="auto" w:before="0" w:after="0"/>
        <w:ind w:firstLine="180"/>
        <w:jc w:val="both"/>
      </w:pPr>
      <w:r>
        <w:rPr>
          <w:rFonts w:ascii="Times New Roman" w:hAnsi="Times New Roman" w:eastAsia="Times New Roman"/>
          <w:sz w:val="20"/>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240" w:lineRule="auto" w:before="0" w:after="0"/>
        <w:ind w:firstLine="180"/>
        <w:jc w:val="both"/>
      </w:pPr>
      <w:r>
        <w:rPr>
          <w:rFonts w:ascii="Times New Roman" w:hAnsi="Times New Roman" w:eastAsia="Times New Roman"/>
          <w:sz w:val="20"/>
        </w:rPr>
        <w:t>Second, even granting M1 as the operative mechanism, the +0.3 SD personality-shift represents the upper bound of empirically demonstrated training effects [19], [20].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240" w:lineRule="auto" w:before="0" w:after="0"/>
        <w:ind w:firstLine="180"/>
        <w:jc w:val="both"/>
      </w:pPr>
      <w:r>
        <w:rPr>
          <w:rFonts w:ascii="Times New Roman" w:hAnsi="Times New Roman" w:eastAsia="Times New Roman"/>
          <w:sz w:val="20"/>
        </w:rPr>
        <w:t>The repositioning we draw is therefore narrow and theoretical: 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240" w:lineRule="auto" w:before="80" w:after="40"/>
      </w:pPr>
      <w:r>
        <w:rPr>
          <w:rFonts w:ascii="Times New Roman" w:hAnsi="Times New Roman" w:eastAsia="Times New Roman"/>
          <w:b/>
          <w:color w:val="000000"/>
          <w:sz w:val="20"/>
        </w:rPr>
        <w:t>D. Limitations</w:t>
      </w:r>
    </w:p>
    <w:p>
      <w:pPr>
        <w:spacing w:line="240" w:lineRule="auto" w:before="40" w:after="40"/>
      </w:pPr>
      <w:r>
        <w:rPr>
          <w:rFonts w:ascii="Helvetica Neue" w:hAnsi="Helvetica Neue" w:eastAsia="Helvetica Neue"/>
          <w:b/>
          <w:color w:val="58595B"/>
          <w:sz w:val="18"/>
        </w:rPr>
        <w:t>1) Reduced-form framing of Counterfactual C:</w:t>
      </w:r>
    </w:p>
    <w:p>
      <w:pPr>
        <w:spacing w:line="240" w:lineRule="auto" w:before="0" w:after="0"/>
        <w:ind w:firstLine="180"/>
        <w:jc w:val="both"/>
      </w:pPr>
      <w:r>
        <w:rPr>
          <w:rFonts w:ascii="Times New Roman" w:hAnsi="Times New Roman" w:eastAsia="Times New Roman"/>
          <w:sz w:val="20"/>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240" w:lineRule="auto" w:before="0" w:after="0"/>
        <w:ind w:firstLine="180"/>
        <w:jc w:val="both"/>
      </w:pPr>
      <w:r>
        <w:rPr>
          <w:rFonts w:ascii="Times New Roman" w:hAnsi="Times New Roman" w:eastAsia="Times New Roman"/>
          <w:sz w:val="20"/>
        </w:rPr>
        <w:t>The simulation's contribution is therefore narrower than a mechanistic claim: it provides an apples-to-apples translation of prior meta-analytic effect sizes for structural interventions [5], [21], [22] (calibrated against MHLW 2020 Law natural experiment) into the same population-level prevalence metric used for the personality intervention [20] (calibrated against Hudson &amp; Fraley, 2015). The conclusion |ΔP_C| ≫ |ΔP_A| is conditional on these prior effect-size estimates being unbiased.</w:t>
      </w:r>
    </w:p>
    <w:p>
      <w:pPr>
        <w:spacing w:line="240" w:lineRule="auto" w:before="0" w:after="0"/>
        <w:ind w:firstLine="180"/>
        <w:jc w:val="both"/>
      </w:pPr>
      <w:r>
        <w:rPr>
          <w:rFonts w:ascii="Times New Roman" w:hAnsi="Times New Roman" w:eastAsia="Times New Roman"/>
          <w:sz w:val="20"/>
        </w:rPr>
        <w:t>A mechanistically richer extension would adopt agent-based modeling [31], [32] with explicit deterrence dynamics, individual-level perceived risk, and interaction with peers. Such extensions are beyond the scope of v2.0 pre-registration but are pre-flagged as Phase 2 follow-up work in the present manuscript.</w:t>
      </w:r>
    </w:p>
    <w:p>
      <w:pPr>
        <w:spacing w:line="240" w:lineRule="auto" w:before="40" w:after="40"/>
      </w:pPr>
      <w:r>
        <w:rPr>
          <w:rFonts w:ascii="Helvetica Neue" w:hAnsi="Helvetica Neue" w:eastAsia="Helvetica Neue"/>
          <w:b/>
          <w:color w:val="58595B"/>
          <w:sz w:val="18"/>
        </w:rPr>
        <w:t>2) Causal under-identification among M2/M3/M4:</w:t>
      </w:r>
    </w:p>
    <w:p>
      <w:pPr>
        <w:spacing w:line="240" w:lineRule="auto" w:before="0" w:after="0"/>
        <w:ind w:firstLine="180"/>
        <w:jc w:val="both"/>
      </w:pPr>
      <w:r>
        <w:rPr>
          <w:rFonts w:ascii="Times New Roman" w:hAnsi="Times New Roman" w:eastAsia="Times New Roman"/>
          <w:sz w:val="20"/>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240" w:lineRule="auto" w:before="40" w:after="40"/>
      </w:pPr>
      <w:r>
        <w:rPr>
          <w:rFonts w:ascii="Helvetica Neue" w:hAnsi="Helvetica Neue" w:eastAsia="Helvetica Neue"/>
          <w:b/>
          <w:color w:val="58595B"/>
          <w:sz w:val="18"/>
        </w:rPr>
        <w:t>3) Heterogeneity in counterfactual response:</w:t>
      </w:r>
    </w:p>
    <w:p>
      <w:pPr>
        <w:spacing w:line="240" w:lineRule="auto" w:before="0" w:after="0"/>
        <w:ind w:firstLine="180"/>
        <w:jc w:val="both"/>
      </w:pPr>
      <w:r>
        <w:rPr>
          <w:rFonts w:ascii="Times New Roman" w:hAnsi="Times New Roman" w:eastAsia="Times New Roman"/>
          <w:sz w:val="20"/>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240" w:lineRule="auto" w:before="40" w:after="40"/>
      </w:pPr>
      <w:r>
        <w:rPr>
          <w:rFonts w:ascii="Helvetica Neue" w:hAnsi="Helvetica Neue" w:eastAsia="Helvetica Neue"/>
          <w:b/>
          <w:color w:val="58595B"/>
          <w:sz w:val="18"/>
        </w:rPr>
        <w:t>4) Static framing:</w:t>
      </w:r>
    </w:p>
    <w:p>
      <w:pPr>
        <w:spacing w:line="240" w:lineRule="auto" w:before="0" w:after="0"/>
        <w:ind w:firstLine="180"/>
        <w:jc w:val="both"/>
      </w:pPr>
      <w:r>
        <w:rPr>
          <w:rFonts w:ascii="Times New Roman" w:hAnsi="Times New Roman" w:eastAsia="Times New Roman"/>
          <w:sz w:val="20"/>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240" w:lineRule="auto" w:before="40" w:after="40"/>
      </w:pPr>
      <w:r>
        <w:rPr>
          <w:rFonts w:ascii="Helvetica Neue" w:hAnsi="Helvetica Neue" w:eastAsia="Helvetica Neue"/>
          <w:b/>
          <w:color w:val="58595B"/>
          <w:sz w:val="18"/>
        </w:rPr>
        <w:t>5) Cluster-proportion limitation (cluster mass fixed at the Tokiwa 2026 values):</w:t>
      </w:r>
    </w:p>
    <w:p>
      <w:pPr>
        <w:spacing w:line="240" w:lineRule="auto" w:before="0" w:after="0"/>
        <w:ind w:firstLine="180"/>
        <w:jc w:val="both"/>
      </w:pPr>
      <w:r>
        <w:rPr>
          <w:rFonts w:ascii="Times New Roman" w:hAnsi="Times New Roman" w:eastAsia="Times New Roman"/>
          <w:sz w:val="20"/>
        </w:rPr>
        <w:t>The 7-cluster proportions used in Stage 1 reweighting remain fixed at the Tokiwa [13]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240" w:lineRule="auto" w:before="40" w:after="40"/>
      </w:pPr>
      <w:r>
        <w:rPr>
          <w:rFonts w:ascii="Helvetica Neue" w:hAnsi="Helvetica Neue" w:eastAsia="Helvetica Neue"/>
          <w:b/>
          <w:color w:val="58595B"/>
          <w:sz w:val="18"/>
        </w:rPr>
        <w:t>6) Sample-size and external-validity caveats:</w:t>
      </w:r>
    </w:p>
    <w:p>
      <w:pPr>
        <w:spacing w:line="240" w:lineRule="auto" w:before="0" w:after="0"/>
        <w:ind w:firstLine="180"/>
        <w:jc w:val="both"/>
      </w:pPr>
      <w:r>
        <w:rPr>
          <w:rFonts w:ascii="Times New Roman" w:hAnsi="Times New Roman" w:eastAsia="Times New Roman"/>
          <w:sz w:val="20"/>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240" w:lineRule="auto" w:before="80" w:after="40"/>
      </w:pPr>
      <w:r>
        <w:rPr>
          <w:rFonts w:ascii="Times New Roman" w:hAnsi="Times New Roman" w:eastAsia="Times New Roman"/>
          <w:b/>
          <w:color w:val="000000"/>
          <w:sz w:val="20"/>
        </w:rPr>
        <w:t>E. Research implications</w:t>
      </w:r>
    </w:p>
    <w:p>
      <w:pPr>
        <w:spacing w:line="240" w:lineRule="auto" w:before="0" w:after="0"/>
        <w:ind w:firstLine="180"/>
        <w:jc w:val="both"/>
      </w:pPr>
      <w:r>
        <w:rPr>
          <w:rFonts w:ascii="Times New Roman" w:hAnsi="Times New Roman" w:eastAsia="Times New Roman"/>
          <w:sz w:val="20"/>
        </w:rPr>
        <w:t>The integrated findings carry three implications for subsequent research, framed at the level of theory and empirical priority rather than as prescriptive recommendations to any particular institution.</w:t>
      </w:r>
    </w:p>
    <w:p>
      <w:pPr>
        <w:pStyle w:val="ListBullet"/>
        <w:spacing w:line="240" w:lineRule="auto" w:before="0" w:after="0"/>
        <w:jc w:val="both"/>
      </w:pPr>
      <w:r>
        <w:rPr>
          <w:rFonts w:ascii="Times New Roman" w:hAnsi="Times New Roman" w:eastAsia="Times New Roman"/>
          <w:sz w:val="20"/>
        </w:rPr>
        <w:t>Calibrated counterfactual comparison as a methodological template.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w:t>
      </w:r>
    </w:p>
    <w:p>
      <w:pPr>
        <w:pStyle w:val="ListBullet"/>
        <w:spacing w:line="240" w:lineRule="auto" w:before="0" w:after="0"/>
        <w:jc w:val="both"/>
      </w:pPr>
      <w:r>
        <w:rPr>
          <w:rFonts w:ascii="Times New Roman" w:hAnsi="Times New Roman" w:eastAsia="Times New Roman"/>
          <w:sz w:val="20"/>
        </w:rPr>
        <w:t>Identification limits of HEXACO-based screening as an empirical question.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w:t>
      </w:r>
    </w:p>
    <w:p>
      <w:pPr>
        <w:pStyle w:val="ListBullet"/>
        <w:spacing w:line="240" w:lineRule="auto" w:before="0" w:after="0"/>
        <w:jc w:val="both"/>
      </w:pPr>
      <w:r>
        <w:rPr>
          <w:rFonts w:ascii="Times New Roman" w:hAnsi="Times New Roman" w:eastAsia="Times New Roman"/>
          <w:sz w:val="20"/>
        </w:rPr>
        <w:t>Structural-intervention efficacy as a heterogeneity question.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240" w:lineRule="auto" w:before="160" w:after="80"/>
        <w:jc w:val="left"/>
      </w:pPr>
      <w:r>
        <w:rPr>
          <w:rFonts w:ascii="Helvetica Neue" w:hAnsi="Helvetica Neue" w:eastAsia="Helvetica Neue"/>
          <w:b/>
          <w:color w:val="00629B"/>
          <w:sz w:val="18"/>
        </w:rPr>
        <w:t>VI. CONCLUSION</w:t>
      </w:r>
    </w:p>
    <w:p>
      <w:pPr>
        <w:spacing w:line="240" w:lineRule="auto" w:before="0" w:after="0"/>
        <w:ind w:firstLine="180"/>
        <w:jc w:val="both"/>
      </w:pPr>
      <w:r>
        <w:rPr>
          <w:rFonts w:ascii="Times New Roman" w:hAnsi="Times New Roman" w:eastAsia="Times New Roman"/>
          <w:sz w:val="20"/>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pPr>
        <w:spacing w:line="240" w:lineRule="auto" w:before="160" w:after="80"/>
        <w:jc w:val="left"/>
      </w:pPr>
      <w:r>
        <w:rPr>
          <w:rFonts w:ascii="Helvetica Neue" w:hAnsi="Helvetica Neue" w:eastAsia="Helvetica Neue"/>
          <w:b/>
          <w:color w:val="00629B"/>
          <w:sz w:val="18"/>
        </w:rPr>
        <w:t>ACKNOWLEDGMENT</w:t>
      </w:r>
    </w:p>
    <w:p>
      <w:pPr>
        <w:spacing w:line="240" w:lineRule="auto" w:before="0" w:after="0"/>
        <w:jc w:val="both"/>
      </w:pPr>
      <w:r>
        <w:rPr>
          <w:rFonts w:ascii="Times New Roman" w:hAnsi="Times New Roman" w:eastAsia="Times New Roman"/>
          <w:sz w:val="20"/>
        </w:rPr>
        <w:t xml:space="preserve">The author thanks the anonymous external methodologist (mode B; mathematical biology background) whose review memo led to the Section 6.5 Level 1 Methods Clarifications Log, and the N = 354 survey respondents whose anonymized data made this analysis possible. </w:t>
      </w:r>
      <w:r>
        <w:rPr>
          <w:rFonts w:ascii="Times New Roman" w:hAnsi="Times New Roman" w:eastAsia="Times New Roman"/>
          <w:i/>
          <w:sz w:val="20"/>
        </w:rPr>
        <w:t xml:space="preserve">Competing Interests: The author discloses the following potential competing interest: the author is the founder and representative of SUNBLAZE Co., Ltd. (Tokyo, Japan), which provides HEXACO-JP, a proprietary Japanese-language HEXACO-based personality assessment service. The present study does not use HEXACO-JP; the HEXACO instrument used here is the HEXACO-PI-R Japanese 60-item adaptation published by Wakabayashi (2014), a separately validated and openly cited instrument that predates and is independent of HEXACO-JP. The manuscript does not reference, evaluate, market, recommend, or otherwise promote HEXACO-JP or any other SUNBLAZE product or service, and the headline empirical findings (a null personality-intervention contrast and a positive structural-intervention contrast) do not differentially favor commercial HEXACO-based assessment products. </w:t>
      </w:r>
      <w:r>
        <w:rPr>
          <w:rFonts w:ascii="Times New Roman" w:hAnsi="Times New Roman" w:eastAsia="Times New Roman"/>
          <w:i/>
          <w:sz w:val="20"/>
        </w:rPr>
        <w:t xml:space="preserve">Ethics statement: The N = 354 individual-level harassment data re-analyzed in this study were originally collected under an IRB-approved protocol described in [29]; the present secondary analysis of de-identified records does not require additional ethics review. </w:t>
      </w:r>
      <w:r>
        <w:rPr>
          <w:rFonts w:ascii="Times New Roman" w:hAnsi="Times New Roman" w:eastAsia="Times New Roman"/>
          <w:i/>
          <w:sz w:val="20"/>
        </w:rPr>
        <w:t xml:space="preserve">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(osf.io/3hxz6/wiki/home/). </w:t>
      </w:r>
      <w:r>
        <w:rPr>
          <w:rFonts w:ascii="Times New Roman" w:hAnsi="Times New Roman" w:eastAsia="Times New Roman"/>
          <w:i/>
          <w:sz w:val="20"/>
        </w:rPr>
        <w:t>AI use disclosure: Generative AI (Anthropic Claude) was used as a drafting and code-review assistant; all final claims, derivations, and statistical conclusions are the author's responsibility.</w:t>
      </w:r>
    </w:p>
    <w:p>
      <w:pPr>
        <w:spacing w:line="240" w:lineRule="auto" w:before="160" w:after="80"/>
        <w:jc w:val="left"/>
      </w:pPr>
      <w:r>
        <w:rPr>
          <w:rFonts w:ascii="Helvetica Neue" w:hAnsi="Helvetica Neue" w:eastAsia="Helvetica Neue"/>
          <w:b/>
          <w:color w:val="00629B"/>
          <w:sz w:val="18"/>
        </w:rPr>
        <w:t>REFERENCES</w:t>
      </w:r>
    </w:p>
    <w:p>
      <w:pPr>
        <w:spacing w:line="240" w:lineRule="auto" w:before="0" w:after="40"/>
        <w:jc w:val="both"/>
      </w:pPr>
      <w:r>
        <w:rPr>
          <w:rFonts w:ascii="Times New Roman" w:hAnsi="Times New Roman" w:eastAsia="Times New Roman"/>
          <w:b/>
          <w:sz w:val="18"/>
        </w:rPr>
        <w:t xml:space="preserve">[1] </w:t>
      </w:r>
      <w:r>
        <w:rPr>
          <w:rFonts w:ascii="Times New Roman" w:hAnsi="Times New Roman" w:eastAsia="Times New Roman"/>
          <w:sz w:val="16"/>
        </w:rPr>
        <w:t>Ministry of Health, Labour and Welfare (MHLW), "Workplace harassment surveys: H28 / R2 / R5 results [Original report in Japanese]," 2017, 2021, 2024. [Online]. Available: https://www.mhlw.go.jp/</w:t>
      </w:r>
    </w:p>
    <w:p>
      <w:pPr>
        <w:spacing w:line="240" w:lineRule="auto" w:before="0" w:after="40"/>
        <w:jc w:val="both"/>
      </w:pPr>
      <w:r>
        <w:rPr>
          <w:rFonts w:ascii="Times New Roman" w:hAnsi="Times New Roman" w:eastAsia="Times New Roman"/>
          <w:b/>
          <w:sz w:val="18"/>
        </w:rPr>
        <w:t xml:space="preserve">[2] </w:t>
      </w:r>
      <w:r>
        <w:rPr>
          <w:rFonts w:ascii="Times New Roman" w:hAnsi="Times New Roman" w:eastAsia="Times New Roman"/>
          <w:sz w:val="16"/>
        </w:rPr>
        <w:t>M. S. Hershcovis and J. Barling, "Towards a multi-foci approach to workplace aggression: A meta-analytic review of outcomes from different perpetrators," J. Organ. Behav., vol. 31, no. 1, pp. 24–44, 2010, doi: 10.1002/job.621.</w:t>
      </w:r>
    </w:p>
    <w:p>
      <w:pPr>
        <w:spacing w:line="240" w:lineRule="auto" w:before="0" w:after="40"/>
        <w:jc w:val="both"/>
      </w:pPr>
      <w:r>
        <w:rPr>
          <w:rFonts w:ascii="Times New Roman" w:hAnsi="Times New Roman" w:eastAsia="Times New Roman"/>
          <w:b/>
          <w:sz w:val="18"/>
        </w:rPr>
        <w:t xml:space="preserve">[3] </w:t>
      </w:r>
      <w:r>
        <w:rPr>
          <w:rFonts w:ascii="Times New Roman" w:hAnsi="Times New Roman" w:eastAsia="Times New Roman"/>
          <w:sz w:val="16"/>
        </w:rPr>
        <w:t>D. Salin, "Ways of explaining workplace bullying: A review of enabling, motivating and precipitating structures and processes in the work environment," Hum. Relat., vol. 56, no. 10, pp. 1213–1232, 2003, doi: 10.1177/00187267035610003.</w:t>
      </w:r>
    </w:p>
    <w:p>
      <w:pPr>
        <w:spacing w:line="240" w:lineRule="auto" w:before="0" w:after="40"/>
        <w:jc w:val="both"/>
      </w:pPr>
      <w:r>
        <w:rPr>
          <w:rFonts w:ascii="Times New Roman" w:hAnsi="Times New Roman" w:eastAsia="Times New Roman"/>
          <w:b/>
          <w:sz w:val="18"/>
        </w:rPr>
        <w:t xml:space="preserve">[4] </w:t>
      </w:r>
      <w:r>
        <w:rPr>
          <w:rFonts w:ascii="Times New Roman" w:hAnsi="Times New Roman" w:eastAsia="Times New Roman"/>
          <w:sz w:val="16"/>
        </w:rPr>
        <w:t>E. G. Mikkelsen, Å. M. Hansen, R. Persson, M. F. Byrgesen, and A. Hogh, "Individual consequences of being exposed to workplace bullying," in Bullying and Harassment in the Workplace: Theory, Research and Practice, 3rd ed., S. Einarsen, H. Hoel, D. Zapf, and C. L. Cooper, Eds. Boca Raton, FL: CRC Press, 2020, pp. 163–208, doi: 10.1201/9780429462528-6.</w:t>
      </w:r>
    </w:p>
    <w:p>
      <w:pPr>
        <w:spacing w:line="240" w:lineRule="auto" w:before="0" w:after="40"/>
        <w:jc w:val="both"/>
      </w:pPr>
      <w:r>
        <w:rPr>
          <w:rFonts w:ascii="Times New Roman" w:hAnsi="Times New Roman" w:eastAsia="Times New Roman"/>
          <w:b/>
          <w:sz w:val="18"/>
        </w:rPr>
        <w:t xml:space="preserve">[5] </w:t>
      </w:r>
      <w:r>
        <w:rPr>
          <w:rFonts w:ascii="Times New Roman" w:hAnsi="Times New Roman" w:eastAsia="Times New Roman"/>
          <w:sz w:val="16"/>
        </w:rPr>
        <w:t>D. Salin, "Workplace bullying and gender: An overview of empirical findings," in Dignity and Inclusion at Work: Handbooks of Workplace Bullying, Emotional Abuse and Harassment, vol. 3, P. D'Cruz et al., Eds. Singapore: Springer, 2021, pp. 331–361, doi: 10.1007/978-981-13-0218-3_12.</w:t>
      </w:r>
    </w:p>
    <w:p>
      <w:pPr>
        <w:spacing w:line="240" w:lineRule="auto" w:before="0" w:after="40"/>
        <w:jc w:val="both"/>
      </w:pPr>
      <w:r>
        <w:rPr>
          <w:rFonts w:ascii="Times New Roman" w:hAnsi="Times New Roman" w:eastAsia="Times New Roman"/>
          <w:b/>
          <w:sz w:val="18"/>
        </w:rPr>
        <w:t xml:space="preserve">[6] </w:t>
      </w:r>
      <w:r>
        <w:rPr>
          <w:rFonts w:ascii="Times New Roman" w:hAnsi="Times New Roman" w:eastAsia="Times New Roman"/>
          <w:sz w:val="16"/>
        </w:rPr>
        <w:t>M. B. Nielsen, L. Glasø, and S. Einarsen, "Exposure to workplace harassment and the Five Factor Model of personality: A meta-analysis," Pers. Individ. Differ., vol. 104, pp. 195–206, 2017, doi: 10.1016/j.paid.2016.08.015.</w:t>
      </w:r>
    </w:p>
    <w:p>
      <w:pPr>
        <w:spacing w:line="240" w:lineRule="auto" w:before="0" w:after="40"/>
        <w:jc w:val="both"/>
      </w:pPr>
      <w:r>
        <w:rPr>
          <w:rFonts w:ascii="Times New Roman" w:hAnsi="Times New Roman" w:eastAsia="Times New Roman"/>
          <w:b/>
          <w:sz w:val="18"/>
        </w:rPr>
        <w:t xml:space="preserve">[7] </w:t>
      </w:r>
      <w:r>
        <w:rPr>
          <w:rFonts w:ascii="Times New Roman" w:hAnsi="Times New Roman" w:eastAsia="Times New Roman"/>
          <w:sz w:val="16"/>
        </w:rPr>
        <w:t>I. Pilch and E. Turska, "Relationships between Machiavellianism, organizational culture, and workplace bullying: Emotional abuse from the target's and the perpetrator's perspective," J. Bus. Ethics, vol. 128, no. 1, pp. 83–93, 2015, doi: 10.1007/s10551-014-2081-3.</w:t>
      </w:r>
    </w:p>
    <w:p>
      <w:pPr>
        <w:spacing w:line="240" w:lineRule="auto" w:before="0" w:after="40"/>
        <w:jc w:val="both"/>
      </w:pPr>
      <w:r>
        <w:rPr>
          <w:rFonts w:ascii="Times New Roman" w:hAnsi="Times New Roman" w:eastAsia="Times New Roman"/>
          <w:b/>
          <w:sz w:val="18"/>
        </w:rPr>
        <w:t xml:space="preserve">[8] </w:t>
      </w:r>
      <w:r>
        <w:rPr>
          <w:rFonts w:ascii="Times New Roman" w:hAnsi="Times New Roman" w:eastAsia="Times New Roman"/>
          <w:sz w:val="16"/>
        </w:rPr>
        <w:t>M. C. Ashton and K. Lee, "Empirical, theoretical, and practical advantages of the HEXACO model of personality structure," Pers. Soc. Psychol. Rev., vol. 11, no. 2, pp. 150–166, 2007, doi: 10.1177/1088868306294907.</w:t>
      </w:r>
    </w:p>
    <w:p>
      <w:pPr>
        <w:spacing w:line="240" w:lineRule="auto" w:before="0" w:after="40"/>
        <w:jc w:val="both"/>
      </w:pPr>
      <w:r>
        <w:rPr>
          <w:rFonts w:ascii="Times New Roman" w:hAnsi="Times New Roman" w:eastAsia="Times New Roman"/>
          <w:b/>
          <w:sz w:val="18"/>
        </w:rPr>
        <w:t xml:space="preserve">[9] </w:t>
      </w:r>
      <w:r>
        <w:rPr>
          <w:rFonts w:ascii="Times New Roman" w:hAnsi="Times New Roman" w:eastAsia="Times New Roman"/>
          <w:sz w:val="16"/>
        </w:rPr>
        <w:t>L. Glasø, S. B. Matthiesen, M. B. Nielsen, and S. Einarsen, "Do targets of workplace bullying portray a general victim personality profile?," Scand. J. Psychol., vol. 48, no. 4, pp. 313–319, 2007, doi: 10.1111/j.1467-9450.2007.00554.x.</w:t>
      </w:r>
    </w:p>
    <w:p>
      <w:pPr>
        <w:spacing w:line="240" w:lineRule="auto" w:before="0" w:after="40"/>
        <w:jc w:val="both"/>
      </w:pPr>
      <w:r>
        <w:rPr>
          <w:rFonts w:ascii="Times New Roman" w:hAnsi="Times New Roman" w:eastAsia="Times New Roman"/>
          <w:b/>
          <w:sz w:val="18"/>
        </w:rPr>
        <w:t xml:space="preserve">[10] </w:t>
      </w:r>
      <w:r>
        <w:rPr>
          <w:rFonts w:ascii="Times New Roman" w:hAnsi="Times New Roman" w:eastAsia="Times New Roman"/>
          <w:sz w:val="16"/>
        </w:rPr>
        <w:t>K. Lee, M. C. Ashton, J. Wiltshire, J. S. Bourdage, B. A. Visser, and A. Gallucci, "Sex, power, and money: Prediction from the Dark Triad and Honesty-Humility," Eur. J. Pers., vol. 27, no. 2, pp. 169–184, 2013, doi: 10.1002/per.1860.</w:t>
      </w:r>
    </w:p>
    <w:p>
      <w:pPr>
        <w:spacing w:line="240" w:lineRule="auto" w:before="0" w:after="40"/>
        <w:jc w:val="both"/>
      </w:pPr>
      <w:r>
        <w:rPr>
          <w:rFonts w:ascii="Times New Roman" w:hAnsi="Times New Roman" w:eastAsia="Times New Roman"/>
          <w:b/>
          <w:sz w:val="18"/>
        </w:rPr>
        <w:t xml:space="preserve">[11] </w:t>
      </w:r>
      <w:r>
        <w:rPr>
          <w:rFonts w:ascii="Times New Roman" w:hAnsi="Times New Roman" w:eastAsia="Times New Roman"/>
          <w:sz w:val="16"/>
        </w:rPr>
        <w:t>D. K. Linton and J. L. Power, "The personality traits of workplace bullies are often shared by their victims: Is there a dark side to victims?," Pers. Individ. Differ., vol. 54, no. 6, pp. 738–743, 2013, doi: 10.1016/j.paid.2012.11.026.</w:t>
      </w:r>
    </w:p>
    <w:p>
      <w:pPr>
        <w:spacing w:line="240" w:lineRule="auto" w:before="0" w:after="40"/>
        <w:jc w:val="both"/>
      </w:pPr>
      <w:r>
        <w:rPr>
          <w:rFonts w:ascii="Times New Roman" w:hAnsi="Times New Roman" w:eastAsia="Times New Roman"/>
          <w:b/>
          <w:sz w:val="18"/>
        </w:rPr>
        <w:t xml:space="preserve">[12] </w:t>
      </w:r>
      <w:r>
        <w:rPr>
          <w:rFonts w:ascii="Times New Roman" w:hAnsi="Times New Roman" w:eastAsia="Times New Roman"/>
          <w:sz w:val="16"/>
        </w:rPr>
        <w:t>J. L. Power, et al., "Acceptability of workplace bullying: A comparative study on six continents," J. Bus. Res., vol. 66, no. 3, pp. 374–380, 2013, doi: 10.1016/j.jbusres.2011.08.018.</w:t>
      </w:r>
    </w:p>
    <w:p>
      <w:pPr>
        <w:spacing w:line="240" w:lineRule="auto" w:before="0" w:after="40"/>
        <w:jc w:val="both"/>
      </w:pPr>
      <w:r>
        <w:rPr>
          <w:rFonts w:ascii="Times New Roman" w:hAnsi="Times New Roman" w:eastAsia="Times New Roman"/>
          <w:b/>
          <w:sz w:val="18"/>
        </w:rPr>
        <w:t xml:space="preserve">[13] </w:t>
      </w:r>
      <w:r>
        <w:rPr>
          <w:rFonts w:ascii="Times New Roman" w:hAnsi="Times New Roman" w:eastAsia="Times New Roman"/>
          <w:sz w:val="16"/>
        </w:rPr>
        <w:t>E. Tokiwa, "Cultural influences on personality types: A cluster analysis of HEXACO traits in Japan," IEEE Access, 2026, doi: 10.1109/ACCESS.2026.3651324.</w:t>
      </w:r>
    </w:p>
    <w:p>
      <w:pPr>
        <w:spacing w:line="240" w:lineRule="auto" w:before="0" w:after="40"/>
        <w:jc w:val="both"/>
      </w:pPr>
      <w:r>
        <w:rPr>
          <w:rFonts w:ascii="Times New Roman" w:hAnsi="Times New Roman" w:eastAsia="Times New Roman"/>
          <w:b/>
          <w:sz w:val="18"/>
        </w:rPr>
        <w:t xml:space="preserve">[14] </w:t>
      </w:r>
      <w:r>
        <w:rPr>
          <w:rFonts w:ascii="Times New Roman" w:hAnsi="Times New Roman" w:eastAsia="Times New Roman"/>
          <w:sz w:val="16"/>
        </w:rPr>
        <w:t>E. Tokiwa, "Predicting power and gender harassment from HEXACO and Dark Traits," Research Square, Preprint, version 1, 2025, doi: 10.21203/rs.3.rs-7756124/v1.</w:t>
      </w:r>
    </w:p>
    <w:p>
      <w:pPr>
        <w:spacing w:line="240" w:lineRule="auto" w:before="0" w:after="40"/>
        <w:jc w:val="both"/>
      </w:pPr>
      <w:r>
        <w:rPr>
          <w:rFonts w:ascii="Times New Roman" w:hAnsi="Times New Roman" w:eastAsia="Times New Roman"/>
          <w:b/>
          <w:sz w:val="18"/>
        </w:rPr>
        <w:t xml:space="preserve">[15] </w:t>
      </w:r>
      <w:r>
        <w:rPr>
          <w:rFonts w:ascii="Times New Roman" w:hAnsi="Times New Roman" w:eastAsia="Times New Roman"/>
          <w:sz w:val="16"/>
        </w:rPr>
        <w:t>M. Spielauer, "What is social science microsimulation?," Soc. Sci. Comput. Rev., vol. 29, no. 1, pp. 9–20, 2011, doi: 10.1177/0894439310370085.</w:t>
      </w:r>
    </w:p>
    <w:p>
      <w:pPr>
        <w:spacing w:line="240" w:lineRule="auto" w:before="0" w:after="40"/>
        <w:jc w:val="both"/>
      </w:pPr>
      <w:r>
        <w:rPr>
          <w:rFonts w:ascii="Times New Roman" w:hAnsi="Times New Roman" w:eastAsia="Times New Roman"/>
          <w:b/>
          <w:sz w:val="18"/>
        </w:rPr>
        <w:t xml:space="preserve">[16] </w:t>
      </w:r>
      <w:r>
        <w:rPr>
          <w:rFonts w:ascii="Times New Roman" w:hAnsi="Times New Roman" w:eastAsia="Times New Roman"/>
          <w:sz w:val="16"/>
        </w:rPr>
        <w:t>C. M. Rutter, A. M. Zaslavsky, and E. J. Feuer, "Dynamic microsimulation models for health outcomes: A review," Med. Decis. Making, vol. 31, no. 1, pp. 10–18, 2011, doi: 10.1177/0272989X10369005.</w:t>
      </w:r>
    </w:p>
    <w:p>
      <w:pPr>
        <w:spacing w:line="240" w:lineRule="auto" w:before="0" w:after="40"/>
        <w:jc w:val="both"/>
      </w:pPr>
      <w:r>
        <w:rPr>
          <w:rFonts w:ascii="Times New Roman" w:hAnsi="Times New Roman" w:eastAsia="Times New Roman"/>
          <w:b/>
          <w:sz w:val="18"/>
        </w:rPr>
        <w:t xml:space="preserve">[17] </w:t>
      </w:r>
      <w:r>
        <w:rPr>
          <w:rFonts w:ascii="Times New Roman" w:hAnsi="Times New Roman" w:eastAsia="Times New Roman"/>
          <w:sz w:val="16"/>
        </w:rPr>
        <w:t>M. A. Hernán and J. M. Robins, "Using big data to emulate a target trial when a randomized trial is not available," Am. J. Epidemiol., vol. 183, no. 8, pp. 758–764, 2016, doi: 10.1093/aje/kwv254.</w:t>
      </w:r>
    </w:p>
    <w:p>
      <w:pPr>
        <w:spacing w:line="240" w:lineRule="auto" w:before="0" w:after="40"/>
        <w:jc w:val="both"/>
      </w:pPr>
      <w:r>
        <w:rPr>
          <w:rFonts w:ascii="Times New Roman" w:hAnsi="Times New Roman" w:eastAsia="Times New Roman"/>
          <w:b/>
          <w:sz w:val="18"/>
        </w:rPr>
        <w:t xml:space="preserve">[18] </w:t>
      </w:r>
      <w:r>
        <w:rPr>
          <w:rFonts w:ascii="Times New Roman" w:hAnsi="Times New Roman" w:eastAsia="Times New Roman"/>
          <w:sz w:val="16"/>
        </w:rPr>
        <w:t>M. G. Hudgens and M. E. Halloran, "Toward causal inference with interference," J. Amer. Statist. Assoc., vol. 103, no. 482, pp. 832–842, 2008, doi: 10.1198/016214508000000292.</w:t>
      </w:r>
    </w:p>
    <w:p>
      <w:pPr>
        <w:spacing w:line="240" w:lineRule="auto" w:before="0" w:after="40"/>
        <w:jc w:val="both"/>
      </w:pPr>
      <w:r>
        <w:rPr>
          <w:rFonts w:ascii="Times New Roman" w:hAnsi="Times New Roman" w:eastAsia="Times New Roman"/>
          <w:b/>
          <w:sz w:val="18"/>
        </w:rPr>
        <w:t xml:space="preserve">[19] </w:t>
      </w:r>
      <w:r>
        <w:rPr>
          <w:rFonts w:ascii="Times New Roman" w:hAnsi="Times New Roman" w:eastAsia="Times New Roman"/>
          <w:sz w:val="16"/>
        </w:rPr>
        <w:t>N. W. Hudson and R. C. Fraley, "Volitional personality trait change: Can people choose to change their personality traits?," J. Pers. Soc. Psychol., vol. 109, no. 3, pp. 490–507, 2015, doi: 10.1037/pspp0000021.</w:t>
      </w:r>
    </w:p>
    <w:p>
      <w:pPr>
        <w:spacing w:line="240" w:lineRule="auto" w:before="0" w:after="40"/>
        <w:jc w:val="both"/>
      </w:pPr>
      <w:r>
        <w:rPr>
          <w:rFonts w:ascii="Times New Roman" w:hAnsi="Times New Roman" w:eastAsia="Times New Roman"/>
          <w:b/>
          <w:sz w:val="18"/>
        </w:rPr>
        <w:t xml:space="preserve">[20] </w:t>
      </w:r>
      <w:r>
        <w:rPr>
          <w:rFonts w:ascii="Times New Roman" w:hAnsi="Times New Roman" w:eastAsia="Times New Roman"/>
          <w:sz w:val="16"/>
        </w:rPr>
        <w:t>B. W. Roberts, J. Luo, D. A. Briley, P. I. Chow, R. Su, and P. L. Hill, "A systematic review of personality trait change through intervention," Psychol. Bull., vol. 143, no. 2, pp. 117–141, 2017, doi: 10.1037/bul0000088.</w:t>
      </w:r>
    </w:p>
    <w:p>
      <w:pPr>
        <w:spacing w:line="240" w:lineRule="auto" w:before="0" w:after="40"/>
        <w:jc w:val="both"/>
      </w:pPr>
      <w:r>
        <w:rPr>
          <w:rFonts w:ascii="Times New Roman" w:hAnsi="Times New Roman" w:eastAsia="Times New Roman"/>
          <w:b/>
          <w:sz w:val="18"/>
        </w:rPr>
        <w:t xml:space="preserve">[21] </w:t>
      </w:r>
      <w:r>
        <w:rPr>
          <w:rFonts w:ascii="Times New Roman" w:hAnsi="Times New Roman" w:eastAsia="Times New Roman"/>
          <w:sz w:val="16"/>
        </w:rPr>
        <w:t>J. Escartín, "Insights into workplace bullying: Psychosocial drivers and effective interventions," Psychol. Res. Behav. Manage., vol. 9, pp. 157–169, 2016, doi: 10.2147/PRBM.S91211.</w:t>
      </w:r>
    </w:p>
    <w:p>
      <w:pPr>
        <w:spacing w:line="240" w:lineRule="auto" w:before="0" w:after="40"/>
        <w:jc w:val="both"/>
      </w:pPr>
      <w:r>
        <w:rPr>
          <w:rFonts w:ascii="Times New Roman" w:hAnsi="Times New Roman" w:eastAsia="Times New Roman"/>
          <w:b/>
          <w:sz w:val="18"/>
        </w:rPr>
        <w:t xml:space="preserve">[22] </w:t>
      </w:r>
      <w:r>
        <w:rPr>
          <w:rFonts w:ascii="Times New Roman" w:hAnsi="Times New Roman" w:eastAsia="Times New Roman"/>
          <w:sz w:val="16"/>
        </w:rPr>
        <w:t>M. Hodgins, S. MacCurtain, and P. Mannix-McNamara, "Workplace bullying and incivility: A systematic review of interventions," Int. J. Workplace Health Manage., vol. 7, no. 1, pp. 54–72, 2014, doi: 10.1108/IJWHM-08-2013-0030.</w:t>
      </w:r>
    </w:p>
    <w:p>
      <w:pPr>
        <w:spacing w:line="240" w:lineRule="auto" w:before="0" w:after="40"/>
        <w:jc w:val="both"/>
      </w:pPr>
      <w:r>
        <w:rPr>
          <w:rFonts w:ascii="Times New Roman" w:hAnsi="Times New Roman" w:eastAsia="Times New Roman"/>
          <w:b/>
          <w:sz w:val="18"/>
        </w:rPr>
        <w:t xml:space="preserve">[23] </w:t>
      </w:r>
      <w:r>
        <w:rPr>
          <w:rFonts w:ascii="Times New Roman" w:hAnsi="Times New Roman" w:eastAsia="Times New Roman"/>
          <w:sz w:val="16"/>
        </w:rPr>
        <w:t>K. Tou, A. Tsuda, M. Nii, T. Yamahiro, and M. Irie, "Development of new power harassment questionnaire in workplace," in Proc. 81st Annu. Conv. Japan. Psychol. Assoc., 2017.</w:t>
      </w:r>
    </w:p>
    <w:p>
      <w:pPr>
        <w:spacing w:line="240" w:lineRule="auto" w:before="0" w:after="40"/>
        <w:jc w:val="both"/>
      </w:pPr>
      <w:r>
        <w:rPr>
          <w:rFonts w:ascii="Times New Roman" w:hAnsi="Times New Roman" w:eastAsia="Times New Roman"/>
          <w:b/>
          <w:sz w:val="18"/>
        </w:rPr>
        <w:t xml:space="preserve">[24] </w:t>
      </w:r>
      <w:r>
        <w:rPr>
          <w:rFonts w:ascii="Times New Roman" w:hAnsi="Times New Roman" w:eastAsia="Times New Roman"/>
          <w:sz w:val="16"/>
        </w:rPr>
        <w:t>A. Kobayashi and K. Tanaka, "Development of the Gender Harassment Scale," Jpn. J. Ind. Organ. Psychol., vol. 24, no. 1, pp. 15–27, 2010, doi: 10.32222/jaiop.24.1_15.</w:t>
      </w:r>
    </w:p>
    <w:p>
      <w:pPr>
        <w:spacing w:line="240" w:lineRule="auto" w:before="0" w:after="40"/>
        <w:jc w:val="both"/>
      </w:pPr>
      <w:r>
        <w:rPr>
          <w:rFonts w:ascii="Times New Roman" w:hAnsi="Times New Roman" w:eastAsia="Times New Roman"/>
          <w:b/>
          <w:sz w:val="18"/>
        </w:rPr>
        <w:t xml:space="preserve">[25] </w:t>
      </w:r>
      <w:r>
        <w:rPr>
          <w:rFonts w:ascii="Times New Roman" w:hAnsi="Times New Roman" w:eastAsia="Times New Roman"/>
          <w:sz w:val="16"/>
        </w:rPr>
        <w:t>A. Wakabayashi, "A sixth personality domain that is independent of the Big Five domains: The psychometric properties of the HEXACO Personality Inventory in a Japanese sample," Jpn. Psychol. Res., vol. 56, no. 3, pp. 211–223, 2014, doi: 10.1111/jpr.12045.</w:t>
      </w:r>
    </w:p>
    <w:p>
      <w:pPr>
        <w:spacing w:line="240" w:lineRule="auto" w:before="0" w:after="40"/>
        <w:jc w:val="both"/>
      </w:pPr>
      <w:r>
        <w:rPr>
          <w:rFonts w:ascii="Times New Roman" w:hAnsi="Times New Roman" w:eastAsia="Times New Roman"/>
          <w:b/>
          <w:sz w:val="18"/>
        </w:rPr>
        <w:t xml:space="preserve">[26] </w:t>
      </w:r>
      <w:r>
        <w:rPr>
          <w:rFonts w:ascii="Times New Roman" w:hAnsi="Times New Roman" w:eastAsia="Times New Roman"/>
          <w:sz w:val="16"/>
        </w:rPr>
        <w:t>Statistics Bureau, Ministry of Internal Affairs and Communications, "Labour Force Survey (Basic Tabulation): 2022 Annual Average Results Summary," Tokyo, Japan, 2023. [Online]. Available: https://www.e-stat.go.jp/</w:t>
      </w:r>
    </w:p>
    <w:p>
      <w:pPr>
        <w:spacing w:line="240" w:lineRule="auto" w:before="0" w:after="40"/>
        <w:jc w:val="both"/>
      </w:pPr>
      <w:r>
        <w:rPr>
          <w:rFonts w:ascii="Times New Roman" w:hAnsi="Times New Roman" w:eastAsia="Times New Roman"/>
          <w:b/>
          <w:sz w:val="18"/>
        </w:rPr>
        <w:t xml:space="preserve">[27] </w:t>
      </w:r>
      <w:r>
        <w:rPr>
          <w:rFonts w:ascii="Times New Roman" w:hAnsi="Times New Roman" w:eastAsia="Times New Roman"/>
          <w:sz w:val="16"/>
        </w:rPr>
        <w:t>B. Efron, "Better bootstrap confidence intervals," J. Amer. Statist. Assoc., vol. 82, no. 397, pp. 171–185, 1987, doi: 10.1080/01621459.1987.10478410.</w:t>
      </w:r>
    </w:p>
    <w:p>
      <w:pPr>
        <w:spacing w:line="240" w:lineRule="auto" w:before="0" w:after="40"/>
        <w:jc w:val="both"/>
      </w:pPr>
      <w:r>
        <w:rPr>
          <w:rFonts w:ascii="Times New Roman" w:hAnsi="Times New Roman" w:eastAsia="Times New Roman"/>
          <w:b/>
          <w:sz w:val="18"/>
        </w:rPr>
        <w:t xml:space="preserve">[28] </w:t>
      </w:r>
      <w:r>
        <w:rPr>
          <w:rFonts w:ascii="Times New Roman" w:hAnsi="Times New Roman" w:eastAsia="Times New Roman"/>
          <w:sz w:val="16"/>
        </w:rPr>
        <w:t>P. M. Podsakoff, S. B. MacKenzie, J.-Y. Lee, and N. P. Podsakoff, "Common method biases in behavioral research: A critical review of the literature and recommended remedies," J. Appl. Psychol., vol. 88, no. 5, pp. 879–903, 2003, doi: 10.1037/0021-9010.88.5.879.</w:t>
      </w:r>
    </w:p>
    <w:p>
      <w:pPr>
        <w:spacing w:line="240" w:lineRule="auto" w:before="0" w:after="40"/>
        <w:jc w:val="both"/>
      </w:pPr>
      <w:r>
        <w:rPr>
          <w:rFonts w:ascii="Times New Roman" w:hAnsi="Times New Roman" w:eastAsia="Times New Roman"/>
          <w:b/>
          <w:sz w:val="18"/>
        </w:rPr>
        <w:t xml:space="preserve">[29] </w:t>
      </w:r>
      <w:r>
        <w:rPr>
          <w:rFonts w:ascii="Times New Roman" w:hAnsi="Times New Roman" w:eastAsia="Times New Roman"/>
          <w:sz w:val="16"/>
        </w:rPr>
        <w:t>R. L. Berger and J. C. Hsu, "Bioequivalence trials, intersection-union tests and equivalence confidence sets," Statist. Sci., vol. 11, no. 4, pp. 283–319, 1996, doi: 10.1214/ss/1032280304.</w:t>
      </w:r>
    </w:p>
    <w:p>
      <w:pPr>
        <w:spacing w:line="240" w:lineRule="auto" w:before="0" w:after="40"/>
        <w:jc w:val="both"/>
      </w:pPr>
      <w:r>
        <w:rPr>
          <w:rFonts w:ascii="Times New Roman" w:hAnsi="Times New Roman" w:eastAsia="Times New Roman"/>
          <w:b/>
          <w:sz w:val="18"/>
        </w:rPr>
        <w:t xml:space="preserve">[30] </w:t>
      </w:r>
      <w:r>
        <w:rPr>
          <w:rFonts w:ascii="Times New Roman" w:hAnsi="Times New Roman" w:eastAsia="Times New Roman"/>
          <w:sz w:val="16"/>
        </w:rPr>
        <w:t>M. K. Lindell and D. J. Whitney, "Accounting for common method variance in cross-sectional research designs," J. Appl. Psychol., vol. 86, no. 1, pp. 114–121, 2001, doi: 10.1037/0021-9010.86.1.114.</w:t>
      </w:r>
    </w:p>
    <w:p>
      <w:pPr>
        <w:spacing w:line="240" w:lineRule="auto" w:before="0" w:after="40"/>
        <w:jc w:val="both"/>
      </w:pPr>
      <w:r>
        <w:rPr>
          <w:rFonts w:ascii="Times New Roman" w:hAnsi="Times New Roman" w:eastAsia="Times New Roman"/>
          <w:b/>
          <w:sz w:val="18"/>
        </w:rPr>
        <w:t xml:space="preserve">[31] </w:t>
      </w:r>
      <w:r>
        <w:rPr>
          <w:rFonts w:ascii="Times New Roman" w:hAnsi="Times New Roman" w:eastAsia="Times New Roman"/>
          <w:sz w:val="16"/>
        </w:rPr>
        <w:t>T. C. Schelling, "Dynamic models of segregation," J. Math. Sociol., vol. 1, no. 2, pp. 143–186, 1971, doi: 10.1080/0022250X.1971.9989794.</w:t>
      </w:r>
    </w:p>
    <w:p>
      <w:pPr>
        <w:spacing w:line="240" w:lineRule="auto" w:before="0" w:after="40"/>
        <w:jc w:val="both"/>
      </w:pPr>
      <w:r>
        <w:rPr>
          <w:rFonts w:ascii="Times New Roman" w:hAnsi="Times New Roman" w:eastAsia="Times New Roman"/>
          <w:b/>
          <w:sz w:val="18"/>
        </w:rPr>
        <w:t xml:space="preserve">[32] </w:t>
      </w:r>
      <w:r>
        <w:rPr>
          <w:rFonts w:ascii="Times New Roman" w:hAnsi="Times New Roman" w:eastAsia="Times New Roman"/>
          <w:sz w:val="16"/>
        </w:rPr>
        <w:t>J. S. Park, J. C. O'Brien, C. J. Cai, M. R. Morris, P. Liang, and M. S. Bernstein, "Generative agents: Interactive simulacra of human behavior," in Proc. 36th Annu. ACM Symp. User Interface Softw. Technol. (UIST), 2023, doi: 10.1145/3586183.3606763.</w:t>
      </w:r>
    </w:p>
    <w:p>
      <w:pPr>
        <w:spacing w:line="240" w:lineRule="auto" w:before="0" w:after="40"/>
        <w:jc w:val="both"/>
      </w:pPr>
      <w:r>
        <w:rPr>
          <w:rFonts w:ascii="Times New Roman" w:hAnsi="Times New Roman" w:eastAsia="Times New Roman"/>
          <w:b/>
          <w:sz w:val="18"/>
        </w:rPr>
        <w:t xml:space="preserve">[33] </w:t>
      </w:r>
      <w:r>
        <w:rPr>
          <w:rFonts w:ascii="Times New Roman" w:hAnsi="Times New Roman" w:eastAsia="Times New Roman"/>
          <w:sz w:val="16"/>
        </w:rPr>
        <w:t>J. Pearl, Causality: Models, Reasoning, and Inference, 2nd ed. Cambridge, U.K.: Cambridge Univ. Press, 2009.</w:t>
      </w:r>
    </w:p>
    <w:p>
      <w:pPr>
        <w:spacing w:line="240" w:lineRule="auto" w:before="160" w:after="80"/>
        <w:jc w:val="left"/>
      </w:pPr>
      <w:r>
        <w:rPr>
          <w:rFonts w:ascii="Helvetica Neue" w:hAnsi="Helvetica Neue" w:eastAsia="Helvetica Neue"/>
          <w:b/>
          <w:color w:val="00629B"/>
          <w:sz w:val="18"/>
        </w:rPr>
        <w:t>BIOGRAPHIES</w:t>
      </w:r>
    </w:p>
    <w:p>
      <w:pPr>
        <w:spacing w:line="240" w:lineRule="auto" w:before="0" w:after="80"/>
      </w:pPr>
      <w:r>
        <w:rPr>
          <w:rFonts w:ascii="Times New Roman" w:hAnsi="Times New Roman" w:eastAsia="Times New Roman"/>
          <w:i/>
          <w:sz w:val="16"/>
        </w:rPr>
        <w:t>[Photo placeholder — 100×120 px grayscale or color, supplied separately at production stage.]</w:t>
      </w:r>
    </w:p>
    <w:p>
      <w:pPr>
        <w:spacing w:line="240" w:lineRule="auto" w:before="0" w:after="80"/>
        <w:jc w:val="both"/>
      </w:pPr>
      <w:r>
        <w:rPr>
          <w:rFonts w:ascii="Times New Roman" w:hAnsi="Times New Roman" w:eastAsia="Times New Roman"/>
          <w:b/>
          <w:smallCaps/>
          <w:sz w:val="16"/>
        </w:rPr>
        <w:t xml:space="preserve">EISUKE TOKIWA </w:t>
      </w:r>
      <w:r>
        <w:rPr>
          <w:rFonts w:ascii="Times New Roman" w:hAnsi="Times New Roman" w:eastAsia="Times New Roman"/>
          <w:sz w:val="16"/>
        </w:rPr>
        <w:t>(Member, IEEE) is the founder of SUNBLAZE Co., Ltd., Tokyo, Japan. He received his graphic-design training in Japan and subsequently redirected his work toward computational psychology and workplace-organization research. His current research interests span the HEXACO personality model, workplace harassment, target-trial emulation in observational data, microsimulation pipelines with empirical-Bayes shrinkage, and pre-registered counterfactual causal analysis. Prior work includes a HEXACO 7-typology clustering of N = 13,668 Japanese respondents (IEEE Access, 2026). He is committed to fully reproducible, hash-verified analytical pipelines (MIT-licensed, OSF-archived). ORCID: 0009-0009-7124-6669. Contact: eisuke.tokiwa@sunblaze.jp.</w:t>
      </w:r>
    </w:p>
    <w:sectPr w:rsidR="00FC693F" w:rsidRPr="0006063C" w:rsidSect="00034616">
      <w:pgSz w:w="11520" w:h="15660"/>
      <w:pgMar w:top="1280" w:right="740" w:bottom="1040" w:left="740" w:header="360" w:footer="640" w:gutter="0"/>
      <w:docGrid w:linePitch="360"/>
      <w:cols w:num="2" w:equalWidth="0" w:space="400">
        <w:col w:w="4820" w:space="400"/>
        <w:col w:w="482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