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Person-Level versus System-Level Anti-Harassment Interventions: HEXACO 7-Typology Evidence That Structure Dominates Personality in Japanese Workplaces</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pPr>
      <w:r>
        <w:rPr>
          <w:rFonts w:ascii="Times New Roman" w:hAnsi="Times New Roman" w:eastAsia="Times New Roman"/>
          <w:sz w:val="24"/>
        </w:rPr>
        <w:t>Eisuke Tokiwa  https://orcid.org/0009-0009-7124-6669</w:t>
      </w:r>
    </w:p>
    <w:p>
      <w:pPr>
        <w:spacing w:line="480" w:lineRule="auto" w:before="0" w:after="0"/>
      </w:pPr>
      <w:r>
        <w:rPr>
          <w:rFonts w:ascii="Times New Roman" w:hAnsi="Times New Roman" w:eastAsia="Times New Roman"/>
          <w:sz w:val="24"/>
        </w:rPr>
        <w:t>The author has no known conflict of interest to disclose beyond that stated in the Declarations below.</w:t>
      </w:r>
    </w:p>
    <w:p>
      <w:pPr>
        <w:spacing w:line="480" w:lineRule="auto" w:before="0" w:after="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pP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(bias) the work reported in this paper.</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was self-funded by SUNBLAZE Co., Ltd. (Tokyo, Japan). No external grant funding from agencies in the public, commercial, or not-for-profit sectors was received.</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The N = 354 individual-level harassment data re-analyzed in this study were originally collected under an IRB-approved protocol described in Tokiwa (2025, Research Square preprint, DOI 10.21203/rs.3.rs-7756124/v1). Secondary analysis of these de-identified data does not require additional ethics review under SUNBLAZE Co., Ltd. policy.</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All N = 354 participants in the original survey provided informed consent for research use of their de-identified responses (per Tokiwa, 2025). The present secondary analysis introduces no new participant contact.</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Stage 2 Registered Report implements, without deviation, the analysis plan pre-registered as v2.0 at the Open Science Framework (DOI 10.17605/OSF.IO/3Y54U; https://osf.io/3y54u; registered 2026-04-30). The Section 6.5 Level 1 Methods Clarifications Log accompanying the v2.0 registration documents 16 minor specification clarifications applied prior to Stage 0 implementation.</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(parent project Wiki at osf.io/3hxz6/wiki/home/ lists access criteria, IRB requirements, and data-use terms). All analysis code is publicly archived under MIT license at https://github.com/etoki/paper (directory: simulation/).</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sole author (Eisuke Tokiwa) was responsible for conceptualization, methodology, software, formal analysis, investigation, data curation, writing — original draft, and writing — review &amp; editing.</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of the original survey (the underlying N = 354 dataset and its descriptive analyses) is available at Research Square (DOI 10.21203/rs.3.rs-7756124/v1; Tokiwa, 2025). The seven HEXACO cluster centroids used as fixed parameters in this study are from the companion paper Tokiwa (2026, IEEE Access, DOI 10.1109/ACCESS.2026.3651324).</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anonymous external methodologist (mode B; mathematical biology background) whose review memo led to the Section 6.5 Level 1 Methods Clarifications Log, and the N = 354 survey respondents whose anonymized data made this analysis possible.</w:t>
      </w:r>
    </w:p>
    <w:p>
      <w:pPr>
        <w:spacing w:line="480" w:lineRule="auto" w:before="0" w:after="0"/>
      </w:pPr>
    </w:p>
    <w:p>
      <w:pPr>
        <w:spacing w:line="480" w:lineRule="auto" w:before="0" w:after="0"/>
      </w:pPr>
      <w:r>
        <w:rPr>
          <w:rFonts w:ascii="Times New Roman" w:hAnsi="Times New Roman" w:eastAsia="Times New Roman"/>
          <w:sz w:val="24"/>
        </w:rPr>
        <w:t>Note (journal submission): This manuscript is being submitted as a Stage 2 Registered Report. Conditional acceptance based on Stage 1 review of the v2.0 protocol document (https://osf.io/3y54u) is acknowledged in the accompanying cover letter.</w:t>
      </w:r>
    </w:p>
    <w:p>
      <w:r>
        <w:br w:type="page"/>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imposes major public-health costs in Japan, where Ministry of Health, Labour and Welfare (MHLW) surveys document past-three-year power-harassment victimization declining from 32.5% (FY2016) to 19.3% (FY2023) following the 2020 Power Harassment Prevention Law. Whether this decline reflects structural intervention or what realistic personality interventions could achieve remains untested. We pre-registered (OSF DOI 10.17605/OSF.IO/3Y54U) a 7-typology HEXACO microsimulation emulating a target trial of three counterfactuals: (A) universal +0.3 SD shift on Honesty-Humility, Agreeableness, and Emotionality; (B) targeted +0.40 SD Honesty-Humility shift restricted to individuals already in three low-prevalence typologies (Clusters {0, 4, 6}); (C) structural cell-level propensity reduction of 20%, calibrated against three meta-analyses. Using N = 354 individual-level data partitioned into 14 cells (7 typologies × 2 genders) with cell-stratified bootstrap (B = 10,000), Beta-Binomial empirical Bayes shrinkage, and a four-step BCa confidence-interval cascade, ΔP_A = −0.0061 ([−0.0207, +0.0062]) and ΔP_B = −0.0059 ([−0.0207, +0.0066]) are null, whereas ΔP_C = +0.0349 ([+0.0264, +0.0435]) is positive and robust. The intersection-union test classifies this configuration as REVERSAL — structural intervention dominates personality intervention by ~5.7×. Robustness holds across cultural attenuation factors of 0.3–1.0 and nine pre-registered analytic choices. HEXACO 7-typology serves as a stratification variable identifying differentially exposed populations, not an intervention target; we reject victim-blaming framings of harassment exposure.</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is a leading driver of psychiatric morbidity, voluntary turnover, and lost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closely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natural experiment offers a rare opportunity to interrogate what types of intervention reduce harassment, and at what scale.</w:t>
      </w:r>
    </w:p>
    <w:p>
      <w:pPr>
        <w:spacing w:line="480" w:lineRule="auto" w:before="0" w:after="0"/>
        <w:ind w:firstLine="720"/>
      </w:pPr>
      <w:r>
        <w:rPr>
          <w:rFonts w:ascii="Times New Roman" w:hAnsi="Times New Roman" w:eastAsia="Times New Roman"/>
          <w:sz w:val="24"/>
        </w:rPr>
        <w:t>A long-standing controversy in workplace-psychology research concerns whether to allocate prevention resources toward person-level interventions — for example, personality training, mindset coaching, or hiring screens designed to filter out individuals with traits associated with harassment perpetration — versus system-level interventions that modify organizational structure, accountability mechanisms, and power asymmetries (Mikkelsen et al., 2020; Salin, 2021). The former approach assumes that harassment is largely driven by individual disposition; the latter, that it is largely driven by environmental affordance. Despite extensive research linking personality traits to bullying and harassment (Nielsen et al., 2017; Pilch &amp; Turska, 2015), the relative population-level efficacy of person-level versus system-level interventions has not been quantitatively compared in a counterfactually rigorous framework.</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 xml:space="preserve">In a companion study, our research group identified seven robust HEXACO clusters in a Japanese sample of N = 13,668 (Tokiwa, 2026, </w:t>
      </w:r>
      <w:r>
        <w:rPr>
          <w:rFonts w:ascii="Times New Roman" w:hAnsi="Times New Roman" w:eastAsia="Times New Roman"/>
          <w:i/>
          <w:sz w:val="24"/>
        </w:rPr>
        <w:t>IEEE Access</w:t>
      </w:r>
      <w:r>
        <w:rPr>
          <w:rFonts w:ascii="Times New Roman" w:hAnsi="Times New Roman" w:eastAsia="Times New Roman"/>
          <w:sz w:val="24"/>
        </w:rPr>
        <w:t xml:space="preserve">; herein "the centroid study"). The seven typologies — labeled here as types 0 through 6 — span the joint distribution of HEXACO domains and provide a parsimonious taxonomy for categorizing individuals according to their personality profile. The present study leverages these </w:t>
      </w:r>
      <w:r>
        <w:rPr>
          <w:rFonts w:ascii="Times New Roman" w:hAnsi="Times New Roman" w:eastAsia="Times New Roman"/>
          <w:i/>
          <w:sz w:val="24"/>
        </w:rPr>
        <w:t>IEEE Access</w:t>
      </w:r>
      <w:r>
        <w:rPr>
          <w:rFonts w:ascii="Times New Roman" w:hAnsi="Times New Roman" w:eastAsia="Times New Roman"/>
          <w:sz w:val="24"/>
        </w:rPr>
        <w:t>–published centroids as fixed parameters for stratifying a smaller harassment-focused subsample (N = 354; Tokiwa, 2025, Research Square preprint).</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 Access–published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Contribution and roadmap</w:t>
      </w:r>
    </w:p>
    <w:p>
      <w:pPr>
        <w:spacing w:line="480" w:lineRule="auto" w:before="0" w:after="0"/>
        <w:ind w:firstLine="720"/>
      </w:pPr>
      <w:r>
        <w:rPr>
          <w:rFonts w:ascii="Times New Roman" w:hAnsi="Times New Roman" w:eastAsia="Times New Roman"/>
          <w:sz w:val="24"/>
        </w:rPr>
        <w:t>This study makes four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for workplace harassment research, with full reproducibility (HDF5 artifacts, fixed seed = 20260429, Docker container, MIT-licensed code; public supplementary archive at OSF DOI 10.17605/OSF.IO/3Y54U), open aggregate data (Stage 0–8 HDF5 + figures + canonical numerical record, freely downloadable from OSF), and IRB-restricted individual-level access (the N = 354 raw dataset is hosted in a Private OSF component with a documented access-request mechanism; methodology described in Tokiwa 2025, Research Square preprint; centroids retrieved from the </w:t>
      </w:r>
      <w:r>
        <w:rPr>
          <w:rFonts w:ascii="Times New Roman" w:hAnsi="Times New Roman" w:eastAsia="Times New Roman"/>
          <w:i/>
          <w:sz w:val="24"/>
        </w:rPr>
        <w:t>IEEE Access</w:t>
      </w:r>
      <w:r>
        <w:rPr>
          <w:rFonts w:ascii="Times New Roman" w:hAnsi="Times New Roman" w:eastAsia="Times New Roman"/>
          <w:sz w:val="24"/>
        </w:rPr>
        <w:t xml:space="preserve"> clustering paper, Tokiwa 2026). 2. </w:t>
      </w:r>
      <w:r>
        <w:rPr>
          <w:rFonts w:ascii="Times New Roman" w:hAnsi="Times New Roman" w:eastAsia="Times New Roman"/>
          <w:b/>
          <w:sz w:val="24"/>
        </w:rPr>
        <w:t>Empirical</w:t>
      </w:r>
      <w:r>
        <w:rPr>
          <w:rFonts w:ascii="Times New Roman" w:hAnsi="Times New Roman" w:eastAsia="Times New Roman"/>
          <w:sz w:val="24"/>
        </w:rPr>
        <w:t xml:space="preserve">: It provides the first quantitative apples-to-apples comparison of person-level and system-level intervention effects on Japanese workplace harassment prevalence, leveraging effect-size calibrations from prior meta-analyses. 3. </w:t>
      </w:r>
      <w:r>
        <w:rPr>
          <w:rFonts w:ascii="Times New Roman" w:hAnsi="Times New Roman" w:eastAsia="Times New Roman"/>
          <w:b/>
          <w:sz w:val="24"/>
        </w:rPr>
        <w:t>Substantive</w:t>
      </w:r>
      <w:r>
        <w:rPr>
          <w:rFonts w:ascii="Times New Roman" w:hAnsi="Times New Roman" w:eastAsia="Times New Roman"/>
          <w:sz w:val="24"/>
        </w:rPr>
        <w:t xml:space="preserve">: It rejects the conventional reading of HEXACO 7-typology as an intervention target, repositioning it as a stratification lens for identifying differentially exposed populations. 4. </w:t>
      </w:r>
      <w:r>
        <w:rPr>
          <w:rFonts w:ascii="Times New Roman" w:hAnsi="Times New Roman" w:eastAsia="Times New Roman"/>
          <w:b/>
          <w:sz w:val="24"/>
        </w:rPr>
        <w:t>Policy-relevant</w:t>
      </w:r>
      <w:r>
        <w:rPr>
          <w:rFonts w:ascii="Times New Roman" w:hAnsi="Times New Roman" w:eastAsia="Times New Roman"/>
          <w:sz w:val="24"/>
        </w:rPr>
        <w:t>: It provides counterfactual evidence that the 2020 Power Harassment Prevention Law's structural mechanism is approximately 5.7× more effective at the population level than the personality-training interventions to which Japanese corporate HR programs allocate the majority of harassment-prevention budget.</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and sketches future agent-based extensions. Section 5 concludes with policy implications.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 xml:space="preserve">All procedures were pre-registered at OSF prior to data analysis (DOI 10.17605/OSF.IO/3Y54U; v2.0 registered/locked 2026-04-30). Code, intermediate artifacts (HDF5), random seeds, and Docker containerization are publicly archived at &lt;https://github.com/etoki/paper&gt;. The analysis is fully reproducible via </w:t>
      </w:r>
      <w:r>
        <w:rPr>
          <w:rFonts w:ascii="Times New Roman" w:hAnsi="Times New Roman" w:eastAsia="Times New Roman"/>
          <w:sz w:val="24"/>
        </w:rPr>
        <w:t>make reproduce</w:t>
      </w:r>
      <w:r>
        <w:rPr>
          <w:rFonts w:ascii="Times New Roman" w:hAnsi="Times New Roman" w:eastAsia="Times New Roman"/>
          <w:sz w:val="24"/>
        </w:rPr>
        <w:t xml:space="preserve"> (~30 minutes on a single core). All stochastic operations use the locked seed 20260429.</w:t>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Research Square preprint, DOI 10.21203/rs.3.rs-7756124/v1;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 IEEE Access, M3-fixed)</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w:t>
      </w:r>
      <w:r>
        <w:rPr>
          <w:rFonts w:ascii="Times New Roman" w:hAnsi="Times New Roman" w:eastAsia="Times New Roman"/>
          <w:i/>
          <w:sz w:val="24"/>
        </w:rPr>
        <w:t>IEEE Access</w:t>
      </w:r>
      <w:r>
        <w:rPr>
          <w:rFonts w:ascii="Times New Roman" w:hAnsi="Times New Roman" w:eastAsia="Times New Roman"/>
          <w:sz w:val="24"/>
        </w:rPr>
        <w:t xml:space="preserve">; DOI 10.1109/ACCESS.2026.3651324) clustering of N = 13,668 Japanese respondents. Per pre-registration v2.0 Methods Clarification M3,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jackknife acceleration parameter â (Methods Clarification m4)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 xml:space="preserve">The national prevalence is computed as the weighted sum P̂_t = Σ_c (p̂_c × W_c) / Σ_c W_c, where W_c is the cluster × gender population weight. Cluster proportions remain at the Tokiwa (2026, </w:t>
      </w:r>
      <w:r>
        <w:rPr>
          <w:rFonts w:ascii="Times New Roman" w:hAnsi="Times New Roman" w:eastAsia="Times New Roman"/>
          <w:i/>
          <w:sz w:val="24"/>
        </w:rPr>
        <w:t>IEEE Access</w:t>
      </w:r>
      <w:r>
        <w:rPr>
          <w:rFonts w:ascii="Times New Roman" w:hAnsi="Times New Roman" w:eastAsia="Times New Roman"/>
          <w:sz w:val="24"/>
        </w:rPr>
        <w:t>) values (M3-fixed; m8 limitation: cluster membership is not in the MHLW data);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applies a +0.40 SD shift in Honesty-Humility (</w:t>
      </w:r>
      <w:r>
        <w:rPr>
          <w:rFonts w:ascii="Times New Roman" w:hAnsi="Times New Roman" w:eastAsia="Times New Roman"/>
          <w:sz w:val="24"/>
        </w:rPr>
        <w:t>code/stage7_counterfactual.py:DELTA_B_MAIN_SD</w:t>
      </w:r>
      <w:r>
        <w:rPr>
          <w:rFonts w:ascii="Times New Roman" w:hAnsi="Times New Roman" w:eastAsia="Times New Roman"/>
          <w:sz w:val="24"/>
        </w:rPr>
        <w:t xml:space="preserve">)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(Pearl 2009 do-operator notation form, which formalizes the targeted indicator "if i ∈ Cluster {0, 4, 6}; HH_i otherwise"). Positivity is computed via ρ_{c, B} = (count of individuals reassigned into target Cluster c after the shift) / (count of individuals in target Cluster c at baseline) and is downgraded by the same m5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−13.2pp ≈ −40.6%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 xml:space="preserve">The H7 intersection-union test (Berger &amp; Hsu, 1996; Methods Clarification m7) computes one-sided 95% lower bounds L_BA and L_BC for ΔP_B − ΔP_A and ΔP_B − ΔP_C, respectively, with bootstrap-resampled cell data (B = 2,000). The configuration is classified per the m7 priority cascade implemented in </w:t>
      </w:r>
      <w:r>
        <w:rPr>
          <w:rFonts w:ascii="Times New Roman" w:hAnsi="Times New Roman" w:eastAsia="Times New Roman"/>
          <w:sz w:val="24"/>
        </w:rPr>
        <w:t>code/stage7_counterfactual.py:h7_iut</w:t>
      </w:r>
      <w:r>
        <w:rPr>
          <w:rFonts w:ascii="Times New Roman" w:hAnsi="Times New Roman" w:eastAsia="Times New Roman"/>
          <w:sz w:val="24"/>
        </w:rPr>
        <w:t>:</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w:t>
      </w:r>
      <w:r>
        <w:rPr>
          <w:rFonts w:ascii="Times New Roman" w:hAnsi="Times New Roman" w:eastAsia="Times New Roman"/>
          <w:sz w:val="24"/>
        </w:rPr>
        <w:t>simulation/code/verify_reproduction.py</w:t>
      </w:r>
      <w:r>
        <w:rPr>
          <w:rFonts w:ascii="Times New Roman" w:hAnsi="Times New Roman" w:eastAsia="Times New Roman"/>
          <w:sz w:val="24"/>
        </w:rPr>
        <w:t xml:space="preserve"> and compared against </w:t>
      </w:r>
      <w:r>
        <w:rPr>
          <w:rFonts w:ascii="Times New Roman" w:hAnsi="Times New Roman" w:eastAsia="Times New Roman"/>
          <w:sz w:val="24"/>
        </w:rPr>
        <w:t>reference_hashes.json</w:t>
      </w:r>
      <w:r>
        <w:rPr>
          <w:rFonts w:ascii="Times New Roman" w:hAnsi="Times New Roman" w:eastAsia="Times New Roman"/>
          <w:sz w:val="24"/>
        </w:rPr>
        <w:t xml:space="preserve">. The Docker container </w:t>
      </w:r>
      <w:r>
        <w:rPr>
          <w:rFonts w:ascii="Times New Roman" w:hAnsi="Times New Roman" w:eastAsia="Times New Roman"/>
          <w:sz w:val="24"/>
        </w:rPr>
        <w:t>Dockerfile</w:t>
      </w:r>
      <w:r>
        <w:rPr>
          <w:rFonts w:ascii="Times New Roman" w:hAnsi="Times New Roman" w:eastAsia="Times New Roman"/>
          <w:sz w:val="24"/>
        </w:rPr>
        <w:t xml:space="preserve"> and the </w:t>
      </w:r>
      <w:r>
        <w:rPr>
          <w:rFonts w:ascii="Times New Roman" w:hAnsi="Times New Roman" w:eastAsia="Times New Roman"/>
          <w:sz w:val="24"/>
        </w:rPr>
        <w:t>Makefile</w:t>
      </w:r>
      <w:r>
        <w:rPr>
          <w:rFonts w:ascii="Times New Roman" w:hAnsi="Times New Roman" w:eastAsia="Times New Roman"/>
          <w:sz w:val="24"/>
        </w:rPr>
        <w:t xml:space="preserve"> </w:t>
      </w:r>
      <w:r>
        <w:rPr>
          <w:rFonts w:ascii="Times New Roman" w:hAnsi="Times New Roman" w:eastAsia="Times New Roman"/>
          <w:sz w:val="24"/>
        </w:rPr>
        <w:t>reproduce</w:t>
      </w:r>
      <w:r>
        <w:rPr>
          <w:rFonts w:ascii="Times New Roman" w:hAnsi="Times New Roman" w:eastAsia="Times New Roman"/>
          <w:sz w:val="24"/>
        </w:rPr>
        <w:t xml:space="preserve"> target encapsulate the full pipeline. A 56-test pytest suite (including the MHLW loader tests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 Research Square preprint; DOI 10.21203/rs.3.rs-7756124/v1).</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simulation/data/mhlw_labor_force_2022.csv (provenance: e-Stat retrieval 2026-04-30).</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 xml:space="preserve">The N = 354 sample was assigned to 14 cells (7 HEXACO clusters × 2 genders) via Euclidean nearest-centroid hard-assignment, using the Tokiwa (2026, </w:t>
      </w:r>
      <w:r>
        <w:rPr>
          <w:rFonts w:ascii="Times New Roman" w:hAnsi="Times New Roman" w:eastAsia="Times New Roman"/>
          <w:i/>
          <w:sz w:val="24"/>
        </w:rPr>
        <w:t>IEEE Access</w:t>
      </w:r>
      <w:r>
        <w:rPr>
          <w:rFonts w:ascii="Times New Roman" w:hAnsi="Times New Roman" w:eastAsia="Times New Roman"/>
          <w:sz w:val="24"/>
        </w:rPr>
        <w:t>)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M4 cascade prescribes for degenerate cells (X_c ∈ {0, N_c}). No cells required the BC or Percentile fallbacks, confirming that the v2.0 master Section 5.1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IEEE Access)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m7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(consistent with L_BC &lt; 0 in the CI-based cascade; L_BA also lies just below zero, ruling out the CONFIRMED branch).</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2026 IEEE Access)</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structural intervention dominates personality intervention.</w:t>
      </w:r>
      <w:r>
        <w:rPr>
          <w:rFonts w:ascii="Times New Roman" w:hAnsi="Times New Roman" w:eastAsia="Times New Roman"/>
          <w:sz w:val="24"/>
        </w:rPr>
        <w:t xml:space="preserve"> The pre-registered intersection-union test produced REVERSAL via the m7 priority-1 condition (point ΔP_B &lt; point ΔP_C; L_BC = −0.0544 also lies below zero in the CI cascade), indicating that the cell-level structural intervention (Counterfactual C; −20% propensity, calibrated against three meta-analyses and one natural experiment) outperforms both personality intervention (Counterfactual A; +0.3 SD on H/A/E) and targeted personality intervention on the low-prevalence subgroup (Counterfactual B; +0.40 SD on HH restricted to individuals whose baseline cluster ∈ {0, 4, 6}) by a substantial margin. The numerical ratio |ΔP_C| / |ΔP_A| ≈ 5.7 is robust across all four pre-registered cultural-attenuation factors (F = 0.3, 0.5, 0.7, 1.0), including the conservative worst-case anchor at F = 0.3. We interpret this as evidence that, given prior meta-analytic effect sizes for each intervention type, organizational and structural interventions translate to approximately 5.7× larger population-level harassment-prevalence reductions than realistic personality-training interventions.</w:t>
      </w:r>
    </w:p>
    <w:p>
      <w:pPr>
        <w:spacing w:line="480" w:lineRule="auto" w:before="0" w:after="0"/>
        <w:ind w:firstLine="720"/>
      </w:pPr>
      <w:r>
        <w:rPr>
          <w:rFonts w:ascii="Times New Roman" w:hAnsi="Times New Roman" w:eastAsia="Times New Roman"/>
          <w:b/>
          <w:sz w:val="24"/>
        </w:rPr>
        <w:t>Finding 3: HEXACO 7-typology is a stratification variable, not an intervention target.</w:t>
      </w:r>
      <w:r>
        <w:rPr>
          <w:rFonts w:ascii="Times New Roman" w:hAnsi="Times New Roman" w:eastAsia="Times New Roman"/>
          <w:sz w:val="24"/>
        </w:rPr>
        <w:t xml:space="preserve"> The Counterfactual A null result (ΔP_A = −0.0061, 95% CI crosses zero) implies that shifting individual HEXACO scores by realistic training-effect magnitudes does not measurably reduce population-level harassment prevalence. This finding has substantive consequences for how the HEXACO 7-typology should be interpreted in workplace contexts: the typology </w:t>
      </w:r>
      <w:r>
        <w:rPr>
          <w:rFonts w:ascii="Times New Roman" w:hAnsi="Times New Roman" w:eastAsia="Times New Roman"/>
          <w:i/>
          <w:sz w:val="24"/>
        </w:rPr>
        <w:t>identifies which subgroups are differentially exposed</w:t>
      </w:r>
      <w:r>
        <w:rPr>
          <w:rFonts w:ascii="Times New Roman" w:hAnsi="Times New Roman" w:eastAsia="Times New Roman"/>
          <w:sz w:val="24"/>
        </w:rPr>
        <w:t xml:space="preserve"> to harassment, but does </w:t>
      </w:r>
      <w:r>
        <w:rPr>
          <w:rFonts w:ascii="Times New Roman" w:hAnsi="Times New Roman" w:eastAsia="Times New Roman"/>
          <w:i/>
          <w:sz w:val="24"/>
        </w:rPr>
        <w:t>not</w:t>
      </w:r>
      <w:r>
        <w:rPr>
          <w:rFonts w:ascii="Times New Roman" w:hAnsi="Times New Roman" w:eastAsia="Times New Roman"/>
          <w:sz w:val="24"/>
        </w:rPr>
        <w:t xml:space="preserve"> identify a personality-based target for individual modification. Consequently, the conventional HR practice of allocating prevention budget toward personality-screening hires or self-improvement training programs rests on a weak empirical foundation; allocation toward structural reforms, with effect sizes documented in Salin (2021), Escartín (2016), and Hodgins et al. (2014), is supported by both prior literature and the present counterfactual analysis.</w:t>
      </w:r>
    </w:p>
    <w:p>
      <w:pPr>
        <w:spacing w:line="480" w:lineRule="auto" w:before="0" w:after="0"/>
        <w:jc w:val="center"/>
      </w:pPr>
      <w:r>
        <w:rPr>
          <w:rFonts w:ascii="Times New Roman" w:hAnsi="Times New Roman" w:eastAsia="Times New Roman"/>
          <w:b/>
          <w:sz w:val="24"/>
        </w:rPr>
        <w:t>The 2020 Power Harassment Prevention Law as natural experiment</w:t>
      </w:r>
    </w:p>
    <w:p>
      <w:pPr>
        <w:spacing w:line="480" w:lineRule="auto" w:before="0" w:after="0"/>
        <w:ind w:firstLine="720"/>
      </w:pPr>
      <w:r>
        <w:rPr>
          <w:rFonts w:ascii="Times New Roman" w:hAnsi="Times New Roman" w:eastAsia="Times New Roman"/>
          <w:sz w:val="24"/>
        </w:rPr>
        <w:t>The MHLW survey series provides a rare natural-experiment quasi-validation of our central counterfactual claim. The FY2016 → FY2023 decline in past-three-year power-harassment victimization (32.5% → 19.3%; −13.2 percentage points) coincides with the staged enforcement of the 2020 Power Harassment Prevention Law (large enterprises, June 2020; SMEs, April 2022). Two competing explanations for this decline are: (a) the law functioned as a structural intervention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explanation is implausible on demographic grounds: cohort-level changes in HEXACO traits over six years are unlikely to exceed 0.05 SD. Our Counterfactual A simulation,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Hence, the 13.2 pp natural-experiment decline cannot be attributed to personality drift. By exclusion, it is attributable primarily to structural change. This convergence between the natural-experiment evidence and our pre-registered counterfactual is, in our view, the strongest case the present study can make for its policy implication.</w:t>
      </w:r>
    </w:p>
    <w:p>
      <w:pPr>
        <w:spacing w:line="480" w:lineRule="auto" w:before="0" w:after="0"/>
        <w:jc w:val="center"/>
      </w:pPr>
      <w:r>
        <w:rPr>
          <w:rFonts w:ascii="Times New Roman" w:hAnsi="Times New Roman" w:eastAsia="Times New Roman"/>
          <w:b/>
          <w:sz w:val="24"/>
        </w:rPr>
        <w:t>Reframing HEXACO: stratification, not modification</w:t>
      </w:r>
    </w:p>
    <w:p>
      <w:pPr>
        <w:spacing w:line="480" w:lineRule="auto" w:before="0" w:after="0"/>
        <w:ind w:firstLine="720"/>
      </w:pPr>
      <w:r>
        <w:rPr>
          <w:rFonts w:ascii="Times New Roman" w:hAnsi="Times New Roman" w:eastAsia="Times New Roman"/>
          <w:sz w:val="24"/>
        </w:rPr>
        <w:t>A central reframing emerges from the integrated reading of Counterfactual A's null and Counterfactual C's positive effect. The conventional reading of "low Honesty-Humility correlates with workplace harassment exposure" tempts an intervention prescription: train individuals to elevate their Honesty-Humility (or, less charitably, screen them out of hiring pools). Our results contraindicate this prescription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rejects M1 (direct causation) but cannot adjudicate among M2–M4. Under any of the latter three, modifying individuals' HEXACO scores does not modify the underlying mechanism (industry sorting, shared SES correlates, or cynicism induced by harassment exposure).</w:t>
      </w:r>
    </w:p>
    <w:p>
      <w:pPr>
        <w:spacing w:line="480" w:lineRule="auto" w:before="0" w:after="0"/>
        <w:ind w:firstLine="720"/>
      </w:pPr>
      <w:r>
        <w:rPr>
          <w:rFonts w:ascii="Times New Roman" w:hAnsi="Times New Roman" w:eastAsia="Times New Roman"/>
          <w:sz w:val="24"/>
        </w:rPr>
        <w:t xml:space="preserve">Second, even </w:t>
      </w:r>
      <w:r>
        <w:rPr>
          <w:rFonts w:ascii="Times New Roman" w:hAnsi="Times New Roman" w:eastAsia="Times New Roman"/>
          <w:i/>
          <w:sz w:val="24"/>
        </w:rPr>
        <w:t>granting</w:t>
      </w:r>
      <w:r>
        <w:rPr>
          <w:rFonts w:ascii="Times New Roman" w:hAnsi="Times New Roman" w:eastAsia="Times New Roman"/>
          <w:sz w:val="24"/>
        </w:rPr>
        <w:t xml:space="preserve"> M1 as the operative mechanism, the +0.3 SD personality-shift represents the upper bound of empirically demonstrated training effects (Hudson &amp; Fraley, 2015; Roberts et al., 2017). Our simulation demonstrates that this upper-bound shift translates to a population-level prevalence change of −0.61 percentage points — far smaller than the ±2 pp variation already present in MHLW year-on-year sampling noise, and ~5.7× smaller than the structural intervention.</w:t>
      </w:r>
    </w:p>
    <w:p>
      <w:pPr>
        <w:spacing w:line="480" w:lineRule="auto" w:before="0" w:after="0"/>
        <w:ind w:firstLine="720"/>
      </w:pPr>
      <w:r>
        <w:rPr>
          <w:rFonts w:ascii="Times New Roman" w:hAnsi="Times New Roman" w:eastAsia="Times New Roman"/>
          <w:sz w:val="24"/>
        </w:rPr>
        <w:t xml:space="preserve">The repositioning is therefore: </w:t>
      </w:r>
      <w:r>
        <w:rPr>
          <w:rFonts w:ascii="Times New Roman" w:hAnsi="Times New Roman" w:eastAsia="Times New Roman"/>
          <w:b/>
          <w:sz w:val="24"/>
        </w:rPr>
        <w:t>HEXACO 7-typology serves as a stratification lens that identifies differentially exposed populations and verifies that structural interventions do not differentially fail any subgroup, but is not itself a target of intervention.</w:t>
      </w:r>
      <w:r>
        <w:rPr>
          <w:rFonts w:ascii="Times New Roman" w:hAnsi="Times New Roman" w:eastAsia="Times New Roman"/>
          <w:sz w:val="24"/>
        </w:rPr>
        <w:t xml:space="preserve"> This framing has the additional ethical virtue of rejecting victim-blaming readings: low-HH individuals are not "flawed" or "in need of improvement"; they are differentially situated in environments where harassment is more prevalent, and the appropriate response is to modify those environments rather than the individuals.</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m8 limitation: cluster proportions M3-fixed</w:t>
      </w:r>
    </w:p>
    <w:p>
      <w:pPr>
        <w:spacing w:line="480" w:lineRule="auto" w:before="0" w:after="0"/>
        <w:ind w:firstLine="720"/>
      </w:pPr>
      <w:r>
        <w:rPr>
          <w:rFonts w:ascii="Times New Roman" w:hAnsi="Times New Roman" w:eastAsia="Times New Roman"/>
          <w:sz w:val="24"/>
        </w:rPr>
        <w:t xml:space="preserve">Per Methods Clarification m8, the 7-cluster proportions used in Stage 1 reweighting remain fixed at the Tokiwa (2026, </w:t>
      </w:r>
      <w:r>
        <w:rPr>
          <w:rFonts w:ascii="Times New Roman" w:hAnsi="Times New Roman" w:eastAsia="Times New Roman"/>
          <w:i/>
          <w:sz w:val="24"/>
        </w:rPr>
        <w:t>IEEE Access</w:t>
      </w:r>
      <w:r>
        <w:rPr>
          <w:rFonts w:ascii="Times New Roman" w:hAnsi="Times New Roman" w:eastAsia="Times New Roman"/>
          <w:sz w:val="24"/>
        </w:rPr>
        <w:t>)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Implications for workplace harassment policy</w:t>
      </w:r>
    </w:p>
    <w:p>
      <w:pPr>
        <w:spacing w:line="480" w:lineRule="auto" w:before="0" w:after="0"/>
        <w:ind w:firstLine="720"/>
      </w:pPr>
      <w:r>
        <w:rPr>
          <w:rFonts w:ascii="Times New Roman" w:hAnsi="Times New Roman" w:eastAsia="Times New Roman"/>
          <w:sz w:val="24"/>
        </w:rPr>
        <w:t>The integrated findings carry three policy implications: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Resource reallocation.</w:t>
      </w:r>
      <w:r>
        <w:rPr>
          <w:rFonts w:ascii="Times New Roman" w:hAnsi="Times New Roman" w:eastAsia="Times New Roman"/>
          <w:sz w:val="24"/>
        </w:rPr>
        <w:t xml:space="preserve"> Japanese corporate HR programs typically allocate the majority of harassment-prevention budget to person-level interventions: anti-harassment training modules, sensitivity workshops, and screening protocols. Our results suggest that a meaningful reallocation toward structural interventions — anonymous reporting channels, independent investigation units, 360-degree evaluation, mid-management training in coaching skills — would yield approximately 5.7× larger population-level reductions in harassment prevalence per unit of intervention. 2. </w:t>
      </w:r>
      <w:r>
        <w:rPr>
          <w:rFonts w:ascii="Times New Roman" w:hAnsi="Times New Roman" w:eastAsia="Times New Roman"/>
          <w:b/>
          <w:sz w:val="24"/>
        </w:rPr>
        <w:t>Causal humility about HEXACO-based screening.</w:t>
      </w:r>
      <w:r>
        <w:rPr>
          <w:rFonts w:ascii="Times New Roman" w:hAnsi="Times New Roman" w:eastAsia="Times New Roman"/>
          <w:sz w:val="24"/>
        </w:rPr>
        <w:t xml:space="preserve"> The use of HEXACO scores (or related personality assessments) in pre-employment screening to filter out "harassment-prone" candidates is not supported by our analysis. The HEXACO–harassment association is consistent with selection into harassment-prone environments rather than direct causation; screening on HEXACO would simply re-route low-HH applicants to less protective workplaces, without reducing aggregate harassment. 3. </w:t>
      </w:r>
      <w:r>
        <w:rPr>
          <w:rFonts w:ascii="Times New Roman" w:hAnsi="Times New Roman" w:eastAsia="Times New Roman"/>
          <w:b/>
          <w:sz w:val="24"/>
        </w:rPr>
        <w:t>Continued evaluation of the 2020 Power Harassment Prevention Law.</w:t>
      </w:r>
      <w:r>
        <w:rPr>
          <w:rFonts w:ascii="Times New Roman" w:hAnsi="Times New Roman" w:eastAsia="Times New Roman"/>
          <w:sz w:val="24"/>
        </w:rPr>
        <w:t xml:space="preserve"> Our analysis converges with the MHLW natural experiment in attributing the FY2016–FY2023 decline to structural mechanisms. We recommend that the law's enforcement be strengthened in the SME sector (where compliance has been documented as weaker) and that auxiliary mechanisms — anonymous reporting, independent investigation, retaliation prohibition — be empirically evaluated for differential efficacy.</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 xml:space="preserve">We pre-registered and executed a HEXACO 7-typology workplace harassment microsimulation that emulates a target trial of three counterfactual interventions in Japan. The null result for personality intervention (Counterfactual A; ΔP_A = −0.0061, CI crosses zero) and the strongly positive result for structural intervention (Counterfactual C; ΔP_C = +0.0349, CI excludes zero), corroborated by the H7 IUT classification of REVERSAL across all four pre-registered cultural attenuation factors, support the conclusion that </w:t>
      </w:r>
      <w:r>
        <w:rPr>
          <w:rFonts w:ascii="Times New Roman" w:hAnsi="Times New Roman" w:eastAsia="Times New Roman"/>
          <w:i/>
          <w:sz w:val="24"/>
        </w:rPr>
        <w:t>structural interventions translate to approximately 5.7× larger population-level harassment-prevalence reductions than realistic personality-training interventions</w:t>
      </w:r>
      <w:r>
        <w:rPr>
          <w:rFonts w:ascii="Times New Roman" w:hAnsi="Times New Roman" w:eastAsia="Times New Roman"/>
          <w:sz w:val="24"/>
        </w:rPr>
        <w:t>, given prior meta-analytic effect-size literature. The 2020 Power Harassment Prevention Law's natural-experiment 13.2 pp decline corroborates the policy mechanism. We reposition HEXACO 7-typology as a stratification lens that identifies differentially exposed populations rather than as a target of intervention, and reject victim-blaming framings of harassment exposure.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Predicted values are computed via 14-cell HEXACO 7-typology × gender propensity weighted by Statistics Bureau (MIC) Labor Force Survey 2022 marginals. Bootstrap 95% CIs use B = 10,000 cell-stratified resamples (Methods Clarification m3). Tier classification per pre-registered four-tier hierarchy (v2.0 Section 5.4).</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B0 trivially attains MAPE = 0 by construction (its prediction equals MHLW grand mean). H2 was tested via Bonferroni-Holm-corrected pairwise inequalities at one-sided α = 0.05 and Page's L (1963) ordinal trend test as auxiliary. </w:t>
      </w:r>
      <w:r>
        <w:rPr>
          <w:rFonts w:ascii="Times New Roman" w:hAnsi="Times New Roman" w:eastAsia="Times New Roman"/>
          <w:b/>
          <w:sz w:val="24"/>
        </w:rPr>
        <w:t>0 of 4 pairs were confirmed</w:t>
      </w:r>
      <w:r>
        <w:rPr>
          <w:rFonts w:ascii="Times New Roman" w:hAnsi="Times New Roman" w:eastAsia="Times New Roman"/>
          <w:sz w:val="24"/>
        </w:rPr>
        <w:t xml:space="preserve">; Page's L statistic </w:t>
      </w:r>
      <w:r>
        <w:rPr>
          <w:rFonts w:ascii="Times New Roman" w:hAnsi="Times New Roman" w:eastAsia="Times New Roman"/>
          <w:i/>
          <w:sz w:val="24"/>
        </w:rPr>
        <w:t>p</w:t>
      </w:r>
      <w:r>
        <w:rPr>
          <w:rFonts w:ascii="Times New Roman" w:hAnsi="Times New Roman" w:eastAsia="Times New Roman"/>
          <w:sz w:val="24"/>
        </w:rPr>
        <w:t xml:space="preserve"> = 0.9757. H2 decision: ambiguous_or_reversed.</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Counterfactual operationalization per pre-registered v2.0 Section 5.7.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(sign convention). Bootstrap CIs use B = 2,000 cell-stratified resamples. The H7 IUT (Berger &amp; Hsu, 1996) computes one-sided 95% lower bounds L_BA and L_BC. Classification follows the m7 priority cascade implemented in </w:t>
      </w:r>
      <w:r>
        <w:rPr>
          <w:rFonts w:ascii="Times New Roman" w:hAnsi="Times New Roman" w:eastAsia="Times New Roman"/>
          <w:sz w:val="24"/>
        </w:rPr>
        <w:t>code/stage7_counterfactual.py:h7_iut</w:t>
      </w:r>
      <w:r>
        <w:rPr>
          <w:rFonts w:ascii="Times New Roman" w:hAnsi="Times New Roman" w:eastAsia="Times New Roman"/>
          <w:sz w:val="24"/>
        </w:rPr>
        <w:t>: REVERSAL (priority 1) is triggered when point ΔP_B &lt; ΔP_A OR point ΔP_B &lt; ΔP_C; CONFIRMED requires L_BA &gt; 0 AND L_BC &gt; 0; PARTIAL requires exactly one of L_BA, L_BC &gt; 0; AMBIGUOUS otherwise.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(targeted HH+ on low-prev clusters)</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b/>
          <w:sz w:val="24"/>
        </w:rPr>
        <w:t>H7 IUT:</w:t>
      </w:r>
      <w:r>
        <w:rPr>
          <w:rFonts w:ascii="Times New Roman" w:hAnsi="Times New Roman" w:eastAsia="Times New Roman"/>
          <w:sz w:val="24"/>
        </w:rPr>
        <w:t xml:space="preserve"> L_BA = −0.0011, L_BC = −0.0544; point ΔP_B &lt; point ΔP_C triggers m7 priority-1 → </w:t>
      </w:r>
      <w:r>
        <w:rPr>
          <w:rFonts w:ascii="Times New Roman" w:hAnsi="Times New Roman" w:eastAsia="Times New Roman"/>
          <w:b/>
          <w:sz w:val="24"/>
        </w:rPr>
        <w:t>REVERSAL</w:t>
      </w:r>
    </w:p>
    <w:p>
      <w:pPr>
        <w:spacing w:line="480" w:lineRule="auto" w:before="0" w:after="0"/>
      </w:pPr>
      <w:r>
        <w:rPr>
          <w:rFonts w:ascii="Times New Roman" w:hAnsi="Times New Roman" w:eastAsia="Times New Roman"/>
          <w:b/>
          <w:sz w:val="24"/>
        </w:rPr>
        <w:t>Positivity diagnostic (Methods Clarification m5):</w:t>
      </w:r>
      <w:r>
        <w:rPr>
          <w:rFonts w:ascii="Times New Roman" w:hAnsi="Times New Roman" w:eastAsia="Times New Roman"/>
          <w:sz w:val="24"/>
        </w:rPr>
        <w:t xml:space="preserve"> Counterfactual A and C trivially preserve positivity. Counterfactual B's flagged-weight share = 44.5%; m5 downgrade rule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Hypothesis classification per v2.0 pre-registration master Section 5.4 (H1) and Section 5.7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Verified in centroid study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13/14 cells resolved at BCa; 1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Spearman ρ(female, male) = 0.87 across 7 clusters (p = 0.01); 14-cell vs 28-cell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 0.04 (7-cluster) / 0.14 (14-cell), both p &gt; 0.6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 xml:space="preserve">A box-and-arrow diagram of the nine pre-registered pipeline stages, showing the data inputs (N=354 individual data; Tokiwa 2026 </w:t>
      </w:r>
      <w:r>
        <w:rPr>
          <w:rFonts w:ascii="Times New Roman" w:hAnsi="Times New Roman" w:eastAsia="Times New Roman"/>
          <w:i/>
          <w:sz w:val="24"/>
        </w:rPr>
        <w:t>IEEE Access</w:t>
      </w:r>
      <w:r>
        <w:rPr>
          <w:rFonts w:ascii="Times New Roman" w:hAnsi="Times New Roman" w:eastAsia="Times New Roman"/>
          <w:sz w:val="24"/>
        </w:rPr>
        <w:t xml:space="preserve"> 7-cluster centroids; Statistics Bureau (MIC) Labor Force Survey 2022) flowing through Stages 0–8 with their HDF5 outputs. Generated as PNG/PDF/SVG by </w:t>
      </w:r>
      <w:r>
        <w:rPr>
          <w:rFonts w:ascii="Times New Roman" w:hAnsi="Times New Roman" w:eastAsia="Times New Roman"/>
          <w:sz w:val="24"/>
        </w:rPr>
        <w:t>simulation/code/figures.py</w:t>
      </w:r>
      <w:r>
        <w:rPr>
          <w:rFonts w:ascii="Times New Roman" w:hAnsi="Times New Roman" w:eastAsia="Times New Roman"/>
          <w:sz w:val="24"/>
        </w:rPr>
        <w:t xml:space="preserve"> (Makefile target </w:t>
      </w:r>
      <w:r>
        <w:rPr>
          <w:rFonts w:ascii="Times New Roman" w:hAnsi="Times New Roman" w:eastAsia="Times New Roman"/>
          <w:sz w:val="24"/>
        </w:rPr>
        <w:t>figures</w:t>
      </w:r>
      <w:r>
        <w:rPr>
          <w:rFonts w:ascii="Times New Roman" w:hAnsi="Times New Roman" w:eastAsia="Times New Roman"/>
          <w:sz w:val="24"/>
        </w:rPr>
        <w:t>).</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The HEXACO 7-typology workplace harassment microsimulation pipeline. Stage 0 (cell propensity) feeds into Stage 1 (population aggregation, MIC-reweighted)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v2.0 master Section 5.1 convention (cluster × 2 + gender index).</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Per-cell power-harassment victimization propensities P̂_c with 95% BCa CIs.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(Standard SUCCESS; CI upper 31.52% narrowly above the 30% Strict threshold).</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Counterfactual ΔP_x estimates and 95% CIs. Personality intervention (A; +0.3 SD on H/A/E for all individuals) and targeted personality intervention (B; +0.40 SD on HH restricted to individuals already in the low-prevalence Cluster {0, 4, 6} subgroup) yield null effects (CIs cross zero). Structural intervention (C; −20% propensity, calibrated against three meta-analyses and the MHLW FY2016–FY2023 Power Harassment Prevention Law natural experiment) yields a positive effect of +3.49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H7 IUT classification under cultural attenuation factors F ∈ {0.3, 0.5, 0.7, 1.0}. The REVERSAL classification (structural dominance) is preserved across all four factors, including the conservative cross-cultural worst-case anchor (F = 0.3) and the Nielsen et al.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Generated by simulation/code/figures.py as simulation/output/figures/figure1_pipeline.{png,pdf,svg}. The pipeline schematic is illustrative; values come from the v2.0 master.</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 xml:space="preserve">All figures are saved at 300 DPI in PNG and PDF formats; vector versions (SVG) are also produced for journal submission. PNG embeds are used in </w:t>
      </w:r>
      <w:r>
        <w:rPr>
          <w:rFonts w:ascii="Times New Roman" w:hAnsi="Times New Roman" w:eastAsia="Times New Roman"/>
          <w:sz w:val="24"/>
        </w:rPr>
        <w:t>manuscript_preprint.docx</w:t>
      </w:r>
      <w:r>
        <w:rPr>
          <w:rFonts w:ascii="Times New Roman" w:hAnsi="Times New Roman" w:eastAsia="Times New Roman"/>
          <w:sz w:val="24"/>
        </w:rPr>
        <w:t xml:space="preserve"> and </w:t>
      </w:r>
      <w:r>
        <w:rPr>
          <w:rFonts w:ascii="Times New Roman" w:hAnsi="Times New Roman" w:eastAsia="Times New Roman"/>
          <w:sz w:val="24"/>
        </w:rPr>
        <w:t>manuscript_journal.docx</w:t>
      </w:r>
      <w:r>
        <w:rPr>
          <w:rFonts w:ascii="Times New Roman" w:hAnsi="Times New Roman" w:eastAsia="Times New Roman"/>
          <w:sz w:val="24"/>
        </w:rPr>
        <w:t>; PDF/SVG accompany the journal submission as separate files (per RSOS Stage 2 RR submission requirements).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STRUCTURE DOMINATES PERSONALITY</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