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the first quantitative apples-to-apples comparison of person-level and system-level intervention effects on Japanese workplace harassment prevalence, leveraging effect-size calibrations from prior meta-analyses. 3. </w:t>
      </w:r>
      <w:r>
        <w:rPr>
          <w:rFonts w:ascii="Times New Roman" w:hAnsi="Times New Roman" w:eastAsia="Times New Roman"/>
          <w:b/>
          <w:sz w:val="24"/>
        </w:rPr>
        <w:t>Substantive</w:t>
      </w:r>
      <w:r>
        <w:rPr>
          <w:rFonts w:ascii="Times New Roman" w:hAnsi="Times New Roman" w:eastAsia="Times New Roman"/>
          <w:sz w:val="24"/>
        </w:rPr>
        <w:t xml:space="preserve">: It rejects the conventional reading of HEXACO 7-typology as an intervention target, repositioning it as a stratification lens for identifying differentially exposed populations. 4. </w:t>
      </w:r>
      <w:r>
        <w:rPr>
          <w:rFonts w:ascii="Times New Roman" w:hAnsi="Times New Roman" w:eastAsia="Times New Roman"/>
          <w:b/>
          <w:sz w:val="24"/>
        </w:rPr>
        <w:t>Policy-relevant</w:t>
      </w:r>
      <w:r>
        <w:rPr>
          <w:rFonts w:ascii="Times New Roman" w:hAnsi="Times New Roman" w:eastAsia="Times New Roman"/>
          <w:sz w:val="24"/>
        </w:rPr>
        <w: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structural intervention dominates personality intervention.</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b/>
          <w:sz w:val="24"/>
        </w:rPr>
        <w:t>Finding 3: HEXACO 7-typology is a stratification variable, not an intervention target.</w:t>
      </w:r>
      <w:r>
        <w:rPr>
          <w:rFonts w:ascii="Times New Roman" w:hAnsi="Times New Roman" w:eastAsia="Times New Roman"/>
          <w:sz w:val="24"/>
        </w:rPr>
        <w:t xml:space="preserve">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w:t>
      </w:r>
      <w:r>
        <w:rPr>
          <w:rFonts w:ascii="Times New Roman" w:hAnsi="Times New Roman" w:eastAsia="Times New Roman"/>
          <w:i/>
          <w:sz w:val="24"/>
        </w:rPr>
        <w:t>identifies which subgroups are differentially exposed</w:t>
      </w:r>
      <w:r>
        <w:rPr>
          <w:rFonts w:ascii="Times New Roman" w:hAnsi="Times New Roman" w:eastAsia="Times New Roman"/>
          <w:sz w:val="24"/>
        </w:rPr>
        <w:t xml:space="preserve"> to harassment, but does </w:t>
      </w:r>
      <w:r>
        <w:rPr>
          <w:rFonts w:ascii="Times New Roman" w:hAnsi="Times New Roman" w:eastAsia="Times New Roman"/>
          <w:i/>
          <w:sz w:val="24"/>
        </w:rPr>
        <w:t>not</w:t>
      </w:r>
      <w:r>
        <w:rPr>
          <w:rFonts w:ascii="Times New Roman" w:hAnsi="Times New Roman" w:eastAsia="Times New Roman"/>
          <w:sz w:val="24"/>
        </w:rPr>
        <w:t xml:space="preserve">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explanation is implausible on demographic grounds: cohort-level changes in HEXACO traits over six years are unlikely to exceed 0.05 SD. Our Counterfactual A simulation,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 xml:space="preserve">Second, even </w:t>
      </w:r>
      <w:r>
        <w:rPr>
          <w:rFonts w:ascii="Times New Roman" w:hAnsi="Times New Roman" w:eastAsia="Times New Roman"/>
          <w:i/>
          <w:sz w:val="24"/>
        </w:rPr>
        <w:t>granting</w:t>
      </w:r>
      <w:r>
        <w:rPr>
          <w:rFonts w:ascii="Times New Roman" w:hAnsi="Times New Roman" w:eastAsia="Times New Roman"/>
          <w:sz w:val="24"/>
        </w:rPr>
        <w:t xml:space="preserve">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 xml:space="preserve">The repositioning is therefore: </w:t>
      </w:r>
      <w:r>
        <w:rPr>
          <w:rFonts w:ascii="Times New Roman" w:hAnsi="Times New Roman" w:eastAsia="Times New Roman"/>
          <w:b/>
          <w:sz w:val="24"/>
        </w:rPr>
        <w:t>HEXACO 7-typology serves as a stratification lens that identifies differentially exposed populations and verifies that structural interventions do not differentially fail any subgroup, but is not itself a target of intervention.</w:t>
      </w:r>
      <w:r>
        <w:rPr>
          <w:rFonts w:ascii="Times New Roman" w:hAnsi="Times New Roman" w:eastAsia="Times New Roman"/>
          <w:sz w:val="24"/>
        </w:rPr>
        <w:t xml:space="preserve">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Resource reallocation.</w:t>
      </w:r>
      <w:r>
        <w:rPr>
          <w:rFonts w:ascii="Times New Roman" w:hAnsi="Times New Roman" w:eastAsia="Times New Roman"/>
          <w:sz w:val="24"/>
        </w:rPr>
        <w:t xml:space="preserve">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w:t>
      </w:r>
      <w:r>
        <w:rPr>
          <w:rFonts w:ascii="Times New Roman" w:hAnsi="Times New Roman" w:eastAsia="Times New Roman"/>
          <w:b/>
          <w:sz w:val="24"/>
        </w:rPr>
        <w:t>Causal humility about HEXACO-based screening.</w:t>
      </w:r>
      <w:r>
        <w:rPr>
          <w:rFonts w:ascii="Times New Roman" w:hAnsi="Times New Roman" w:eastAsia="Times New Roman"/>
          <w:sz w:val="24"/>
        </w:rPr>
        <w:t xml:space="preserve">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w:t>
      </w:r>
      <w:r>
        <w:rPr>
          <w:rFonts w:ascii="Times New Roman" w:hAnsi="Times New Roman" w:eastAsia="Times New Roman"/>
          <w:b/>
          <w:sz w:val="24"/>
        </w:rPr>
        <w:t>Continued evaluation of the 2020 Power Harassment Prevention Law.</w:t>
      </w:r>
      <w:r>
        <w:rPr>
          <w:rFonts w:ascii="Times New Roman" w:hAnsi="Times New Roman" w:eastAsia="Times New Roman"/>
          <w:sz w:val="24"/>
        </w:rPr>
        <w:t xml:space="preserve">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 xml:space="preserve">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w:t>
      </w:r>
      <w:r>
        <w:rPr>
          <w:rFonts w:ascii="Times New Roman" w:hAnsi="Times New Roman" w:eastAsia="Times New Roman"/>
          <w:i/>
          <w:sz w:val="24"/>
        </w:rPr>
        <w:t>structural interventions translate to approximately 5.7× larger population-level harassment-prevalence reductions than realistic personality-training interventions</w:t>
      </w:r>
      <w:r>
        <w:rPr>
          <w:rFonts w:ascii="Times New Roman" w:hAnsi="Times New Roman" w:eastAsia="Times New Roman"/>
          <w:sz w:val="24"/>
        </w:rPr>
        <w:t>,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