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HEXACO 7-Typology Evidence That Structure Dominates Personality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Tables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1. H1 Four-Tier Classification of Mean Absolute Percentage Error (MAPE) Across Three MHLW Validation Periods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Predicted values are computed via 14-cell HEXACO 7-typology × gender propensity weighted by Statistics Bureau (MIC) Labor Force Survey 2022 marginals. Bootstrap 95% CIs use B = 10,000 cell-stratified resamples (Methods Clarification m3). Tier classification per pre-registered four-tier hierarchy (v2.0 Section 5.4).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Period (MHLW)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Observed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Predicted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FY2016 (32.5%, primary)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0.325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[32.36, 59.30]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FY2020 (31.4%,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44.46%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[30.00, 57.88]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FY2023 (19.3%,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9.65%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[0.52, 31.52]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2. One-at-a-Time (OAT) Sensitivity Sweep Around the Locked v2.0 Main Configuration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Each row varies the indicated parameter family while holding remaining parameters at the v2.0 main configuration. B = 2,000 percentile CIs reported on FY2016 MAPE.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Value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main_v2.0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[31.5, 59.5]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mean+0.25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29.58%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[13.7, 45.2]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mean+0.5 SD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[30.5,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mean+1.0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48.95%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[34.0, 62.4]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45.04%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[43.8, 46.3]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45.22%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45.90%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[32.1, 58.7]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59.0]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45.80%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[32.3, 58.9]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56.47%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[42.8, 68.8]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34.55%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[16.6, 51.8]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3. Baseline Comparison for H2 Ordinal Trend Hypothesis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 xml:space="preserve">. B0 trivially attains MAPE = 0 by construction (its prediction equals MHLW grand mean). H2 was tested via Bonferroni-Holm-corrected pairwise inequalities at one-sided α = 0.05 and Page's L (1963) ordinal trend test as auxiliary. </w:t>
      </w:r>
      <w:r>
        <w:rPr>
          <w:rFonts w:ascii="Times New Roman" w:hAnsi="Times New Roman" w:eastAsia="Times New Roman"/>
          <w:b/>
          <w:sz w:val="24"/>
        </w:rPr>
        <w:t>0 of 4 pairs were confirmed</w:t>
      </w:r>
      <w:r>
        <w:rPr>
          <w:rFonts w:ascii="Times New Roman" w:hAnsi="Times New Roman" w:eastAsia="Times New Roman"/>
          <w:sz w:val="24"/>
        </w:rPr>
        <w:t xml:space="preserve">; Page's L statistic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0.9757. H2 decision: ambiguous_or_reversed.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Baseline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Uniform = MHLW grand 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[0.00, 0.00]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Gender-only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46.02%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[46.02, 46.02]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HEXACO 6-domain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43.98%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[40.33, 47.35]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conditional (main pipeline)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[46.34, 46.34]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Extended (age + age × cluster)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47.04%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[45.02, 49.05]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4. Counterfactual ΔP_x Estimates and H7 Intersection-Union Test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 xml:space="preserve">. Counterfactual operationalization per pre-registered v2.0 Section 5.7. Positive ΔP indicates </w:t>
      </w:r>
      <w:r>
        <w:rPr>
          <w:rFonts w:ascii="Times New Roman" w:hAnsi="Times New Roman" w:eastAsia="Times New Roman"/>
          <w:i/>
          <w:sz w:val="24"/>
        </w:rPr>
        <w:t>reduction</w:t>
      </w:r>
      <w:r>
        <w:rPr>
          <w:rFonts w:ascii="Times New Roman" w:hAnsi="Times New Roman" w:eastAsia="Times New Roman"/>
          <w:sz w:val="24"/>
        </w:rPr>
        <w:t xml:space="preserve"> in prevalence (sign convention). Bootstrap CIs use B = 2,000 cell-stratified resamples. The H7 IUT (Berger &amp; Hsu, 1996) computes one-sided 95% lower bounds L_BA and L_BC. Classification follows the m7 priority cascade implemented in </w:t>
      </w:r>
      <w:r>
        <w:rPr>
          <w:rFonts w:ascii="Times New Roman" w:hAnsi="Times New Roman" w:eastAsia="Times New Roman"/>
          <w:sz w:val="24"/>
        </w:rPr>
        <w:t>code/stage7_counterfactual.py:h7_iut</w:t>
      </w:r>
      <w:r>
        <w:rPr>
          <w:rFonts w:ascii="Times New Roman" w:hAnsi="Times New Roman" w:eastAsia="Times New Roman"/>
          <w:sz w:val="24"/>
        </w:rPr>
        <w:t>: REVERSAL (priority 1) is triggered when point ΔP_B &lt; ΔP_A OR point ΔP_B &lt; ΔP_C; CONFIRMED requires L_BA &gt; 0 AND L_BC &gt; 0; PARTIAL requires exactly one of L_BA, L_BC &gt; 0; AMBIGUOUS otherwise.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Intervention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Operationalization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 point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CI excludes 0?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 (personality)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← +0.3σ; A ← +0.3σ; E ← +0.3σ)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 (targeted HH+ on low-prev clusters)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:= HH + 0.40σ_HH) for individuals whose baseline cluster ∈ {0, 4, 6}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+0.0066]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 (structural)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do(P_{c, x} ← 0.80 × P_{c, x})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[+0.0264, +0.0435]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Yes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H7 IUT:</w:t>
      </w:r>
      <w:r>
        <w:rPr>
          <w:rFonts w:ascii="Times New Roman" w:hAnsi="Times New Roman" w:eastAsia="Times New Roman"/>
          <w:sz w:val="24"/>
        </w:rPr>
        <w:t xml:space="preserve"> L_BA = −0.0011, L_BC = −0.0544; point ΔP_B &lt; point ΔP_C triggers m7 priority-1 → </w:t>
      </w:r>
      <w:r>
        <w:rPr>
          <w:rFonts w:ascii="Times New Roman" w:hAnsi="Times New Roman" w:eastAsia="Times New Roman"/>
          <w:b/>
          <w:sz w:val="24"/>
        </w:rPr>
        <w:t>REVERSAL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Positivity diagnostic (Methods Clarification m5):</w:t>
      </w:r>
      <w:r>
        <w:rPr>
          <w:rFonts w:ascii="Times New Roman" w:hAnsi="Times New Roman" w:eastAsia="Times New Roman"/>
          <w:sz w:val="24"/>
        </w:rPr>
        <w:t xml:space="preserve"> Counterfactual A and C trivially preserve positivity. Counterfactual B's flagged-weight share = 44.5%; m5 downgrade rule triggered. We interpret B's null finding as exploratory rather than confirmatory.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5. Transportability Sensitivity (H7 Re-classification Across Cultural Attenuation Factors)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Each row applies factor F multiplicatively to the bootstrap distribution of all three ΔP_x; H7 IUT is re-classified per attenuated factor.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Factor F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Anchor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ΔP_A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ΔP_C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Conservative cross-cultural worst case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−0.0018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Nielsen et al., 2017 expected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Mild attenuation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+0.0244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Reference (no attenuation)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6. Pre-Registered Hypothesis Outcomes Summary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Hypothesis classification per v2.0 pre-registration master Section 5.4 (H1) and Section 5.7 (H7).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Hypothesis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Pre-registered prediction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MAPE_FY2016 ≤ 30% (Strict / Standard SUCCESS)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 = 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Monotonic B0 &gt; B1 &gt; B2 &gt; B3 &gt; 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 of 4 pairs confirmed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Centroid concordance N=354 vs N=13,668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Verified in centroid study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Per-cell propensity stability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13/14 cells resolved at BCa; 1 (X=0) at Clopper-Pearson per M4 cascade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 invariance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ρ(female, male) = 0.87 across 7 clusters (p = 0.01); 14-cell vs 28-cell stable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Power × gender harassment cluster ranking concordance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 = 0.04 (7-cluster) / 0.14 (14-cell), both p &gt; 0.6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IUT classification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 (robust F=0.3–1.0)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All figures are saved at 300 DPI in PNG and PDF formats; vector versions (SVG) are also produced for journal submission. PNG embeds are used in </w:t>
      </w:r>
      <w:r>
        <w:rPr>
          <w:rFonts w:ascii="Times New Roman" w:hAnsi="Times New Roman" w:eastAsia="Times New Roman"/>
          <w:sz w:val="24"/>
        </w:rPr>
        <w:t>manuscript_preprint.docx</w:t>
      </w:r>
      <w:r>
        <w:rPr>
          <w:rFonts w:ascii="Times New Roman" w:hAnsi="Times New Roman" w:eastAsia="Times New Roman"/>
          <w:sz w:val="24"/>
        </w:rPr>
        <w:t xml:space="preserve"> and </w:t>
      </w:r>
      <w:r>
        <w:rPr>
          <w:rFonts w:ascii="Times New Roman" w:hAnsi="Times New Roman" w:eastAsia="Times New Roman"/>
          <w:sz w:val="24"/>
        </w:rPr>
        <w:t>manuscript_journal.docx</w:t>
      </w:r>
      <w:r>
        <w:rPr>
          <w:rFonts w:ascii="Times New Roman" w:hAnsi="Times New Roman" w:eastAsia="Times New Roman"/>
          <w:sz w:val="24"/>
        </w:rPr>
        <w:t>; PDF/SVG accompany the journal submission as separate files (per RSOS Stage 2 RR submission requirements).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STRUCTURE DOMINATES PERSONALITY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