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Figures (captions)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1. Pipeline Schematic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A box-and-arrow diagram of the nine pre-registered pipeline stages, showing the data inputs (N=354 individual data; Tokiwa 2026 </w:t>
      </w:r>
      <w:r>
        <w:rPr>
          <w:rFonts w:ascii="Times New Roman" w:hAnsi="Times New Roman" w:eastAsia="Times New Roman"/>
          <w:i/>
          <w:sz w:val="24"/>
        </w:rPr>
        <w:t>IEEE Access</w:t>
      </w:r>
      <w:r>
        <w:rPr>
          <w:rFonts w:ascii="Times New Roman" w:hAnsi="Times New Roman" w:eastAsia="Times New Roman"/>
          <w:sz w:val="24"/>
        </w:rPr>
        <w:t xml:space="preserve"> 7-cluster centroids; Statistics Bureau (MIC) Labor Force Survey 2022) flowing through Stages 0–8 with their HDF5 outputs. Generated as PNG/PDF/SVG by </w:t>
      </w:r>
      <w:r>
        <w:rPr>
          <w:rFonts w:ascii="Times New Roman" w:hAnsi="Times New Roman" w:eastAsia="Times New Roman"/>
          <w:sz w:val="24"/>
        </w:rPr>
        <w:t>simulation/code/figures.py</w:t>
      </w:r>
      <w:r>
        <w:rPr>
          <w:rFonts w:ascii="Times New Roman" w:hAnsi="Times New Roman" w:eastAsia="Times New Roman"/>
          <w:sz w:val="24"/>
        </w:rPr>
        <w:t xml:space="preserve"> (Makefile target </w:t>
      </w:r>
      <w:r>
        <w:rPr>
          <w:rFonts w:ascii="Times New Roman" w:hAnsi="Times New Roman" w:eastAsia="Times New Roman"/>
          <w:sz w:val="24"/>
        </w:rPr>
        <w:t>figures</w:t>
      </w:r>
      <w:r>
        <w:rPr>
          <w:rFonts w:ascii="Times New Roman" w:hAnsi="Times New Roman" w:eastAsia="Times New Roman"/>
          <w:sz w:val="24"/>
        </w:rPr>
        <w:t>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The HEXACO 7-typology workplace harassment microsimulation pipeline. Stage 0 (cell propensity) feeds into Stage 1 (population aggregation, MIC-reweighted) and Stage 2 (H1 four-tier classification). Stage 3 (sensitivity), Stage 4 (baselines), Stage 5 (CMV diagnostic), Stage 6 (target trial PICO), Stage 7 (counterfactuals + H7 IUT), and Stage 8 (transportability) operate in parallel after Stage 2.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2. 14-Cell Cell-Level Propensity (Stage 0)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heatmap of P̂_c across 7 HEXACO clusters × 2 genders, with cell sizes overlaid. Cell ordering follows the v2.0 master Section 5.1 convention (cluster × 2 + gender index).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Per-cell power-harassment victimization propensities P̂_c with 95% BCa CIs. Cell sizes (N_c) range from 10 to 70 (median 18). Color encodes propensity (blue = low; red = high). Cells with N_c &lt; 20 are demarcated with a dashed boundary.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3. National Prevalence vs MHLW Validation Targets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bar chart of model-predicted P̂ = 0.1744 (single bar) overlaid with the three MHLW validation targets (FY2016 = 0.325, FY2020 = 0.314, FY2023 = 0.193) as horizontal reference lines, with the staged enforcement period of the 2020 Power Harassment Prevention Law shaded.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Model-based national prevalence (P̂ = 17.44%, blue bar) compared with MHLW past-three-year power-harassment victimization targets across three survey periods. The 2020 Power Harassment Prevention Law's staged enforcement (large enterprises 2020-06; SMEs 2022-04) coincides with the FY2020 → FY2023 decline. Predicted prevalence aligns most closely with the post-law FY2023 target (Standard SUCCESS; CI upper 31.52% narrowly above the 30% Strict threshold).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4. OAT Sensitivity Tornado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tornado plot with parameter families on the y-axis and MAPE_FY2016 horizontal bars on the x-axis, ordered by sensitivity magnitude. The two sensitive families (binarization, cluster mass) appear at the top with wide bars; the two stable families (soft τ, EB scale) appear at the bottom with narrow bars. The locked main configuration is marked with a vertical reference line.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One-at-a-time sensitivity sweep of FY2016 MAPE. Binarization threshold and cluster mass shift exhibit substantial sensitivity (range 29.6% to 56.5%), whereas soft-assignment τ and empirical Bayes shrinkage scale exhibit negligible sensitivity (range &lt; 0.5%). Vertical line at 45.51% marks the locked v2.0 main configuration.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5. Counterfactual ΔP_x Forest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forest plot with three counterfactuals on the y-axis (A, B, C), point estimates with 95% CIs as horizontal whiskers, and a vertical reference line at ΔP = 0. Counterfactuals A and B's CIs overlap zero; Counterfactual C's CI excludes zero on the positive side.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Counterfactual ΔP_x estimates and 95% CIs. Personality intervention (A; +0.3 SD on H/A/E for all individuals) and targeted personality intervention (B; +0.40 SD on HH restricted to individuals already in the low-prevalence Cluster {0, 4, 6} subgroup) yield null effects (CIs cross zero). Structural intervention (C; −20% propensity, calibrated against three meta-analyses and the MHLW FY2016–FY2023 Power Harassment Prevention Law natural experiment) yields a positive effect of +3.49 percentage points (CI excludes zero on the positive side). The H7 intersection-union test (Berger &amp; Hsu, 1996) classifies this configuration as REVERSAL.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6. Transportability Robustness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line plot with cultural attenuation factor F on the x-axis (0.3 to 1.0) and ΔP_x on the y-axis. Three lines for ΔP_A, ΔP_B, ΔP_C, with 95% CIs as shaded bands. The ΔP_C line remains above zero across the entire factor range; the ΔP_A and ΔP_B lines remain centered on zero.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H7 IUT classification under cultural attenuation factors F ∈ {0.3, 0.5, 0.7, 1.0}. The REVERSAL classification (structural dominance) is preserved across all four factors, including the conservative cross-cultural worst-case anchor (F = 0.3) and the Nielsen et al. (2017) Asia/Oceania expected attenuation (F = 0.5).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STRUCTURE DOMINATES PERSONALITY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