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HEXACO 7-Typology Evidence That Structure Dominates Personality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has no known conflict of interest to disclose beyond that stated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(bias) the work reported in this paper.</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was self-funded by SUNBLAZE Co., Ltd. (Tokyo, Japan). No external grant funding from agencies in the public, commercial, or not-for-profit sectors was received.</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Secondary analysis of these de-identified data does not require additional ethics review under SUNBLAZE Co., Ltd. policy.</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et al., 2017; Pilch &amp; Turska, 2015), the relative population-level efficacy of person-level versus system-level interventions has not been quantitatively compared in a counterfactually rigorous framework.</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our research group identified seven robust HEXACO clusters in a Japanese sample of N = 13,668 (Tokiwa, 2026, *IEEE Access*;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(2026, *IEEE Access*; DOI 10.1109/ACCESS.2026.3651324)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*IEEE Access*)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*IEEE Access*)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described in Methods (Stage 0 specification).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sz w:val="24"/>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et al. (2014), is supported by both prior literature and the present counterfactual analysis.</w:t>
      </w:r>
    </w:p>
    <w:p>
      <w:pPr>
        <w:spacing w:line="480" w:lineRule="auto" w:before="0" w:after="0"/>
        <w:jc w:val="center"/>
      </w:pPr>
      <w:r>
        <w:rPr>
          <w:rFonts w:ascii="Times New Roman" w:hAnsi="Times New Roman" w:eastAsia="Times New Roman"/>
          <w:b/>
          <w:sz w:val="24"/>
        </w:rPr>
        <w:t>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center"/>
      </w:pPr>
      <w:r>
        <w:rPr>
          <w:rFonts w:ascii="Times New Roman" w:hAnsi="Times New Roman" w:eastAsia="Times New Roman"/>
          <w:b/>
          <w:sz w:val="24"/>
        </w:rPr>
        <w:t>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Tokiwa (2026, *IEEE Access*)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follows the m7 priority cascade implemented in `code/stage7_counterfactual.py:h7_iut`: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−0.0011, L_BC = −0.0544; point ΔP_B &lt; point ΔP_C triggers m7 priority-1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Tokiwa 2026 *IEEE Access* 7-cluster centroids; Statistics Bureau (MIC) Labor Force Survey 2022) flowing through Stages 0–8 with their HDF5 outputs. Generated as PNG/PDF/SVG by `simulation/code/figures.py` (Makefile target `figures`).</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