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before="0" w:after="0"/>
      </w:pPr>
    </w:p>
    <w:p>
      <w:pPr>
        <w:spacing w:line="480" w:lineRule="auto" w:before="0" w:after="0"/>
      </w:pPr>
    </w:p>
    <w:p>
      <w:pPr>
        <w:spacing w:line="480" w:lineRule="auto" w:before="0" w:after="0"/>
        <w:jc w:val="center"/>
      </w:pPr>
      <w:r>
        <w:rPr>
          <w:rFonts w:ascii="Times New Roman" w:hAnsi="Times New Roman" w:eastAsia="Times New Roman"/>
          <w:b/>
          <w:sz w:val="24"/>
        </w:rPr>
        <w:t>Person-Level versus System-Level Anti-Harassment Interventions: HEXACO 7-Typology Evidence That Structure Dominates Personality in Japanese Workplaces</w:t>
      </w:r>
    </w:p>
    <w:p>
      <w:pPr>
        <w:spacing w:line="480" w:lineRule="auto" w:before="0" w:after="0"/>
      </w:pPr>
    </w:p>
    <w:p>
      <w:pPr>
        <w:spacing w:line="480" w:lineRule="auto" w:before="0" w:after="0"/>
        <w:jc w:val="center"/>
      </w:pPr>
      <w:r>
        <w:rPr>
          <w:rFonts w:ascii="Times New Roman" w:hAnsi="Times New Roman" w:eastAsia="Times New Roman"/>
          <w:sz w:val="24"/>
        </w:rPr>
        <w:t>Eisuke Tokiwa</w:t>
      </w:r>
    </w:p>
    <w:p>
      <w:pPr>
        <w:spacing w:line="480" w:lineRule="auto" w:before="0" w:after="0"/>
        <w:jc w:val="center"/>
      </w:pPr>
      <w:r>
        <w:rPr>
          <w:rFonts w:ascii="Times New Roman" w:hAnsi="Times New Roman" w:eastAsia="Times New Roman"/>
          <w:sz w:val="24"/>
        </w:rPr>
        <w:t>SUNBLAZE Co., Ltd., Tokyo, Japan</w:t>
      </w:r>
    </w:p>
    <w:p>
      <w:pPr>
        <w:spacing w:line="480" w:lineRule="auto" w:before="0" w:after="0"/>
      </w:pPr>
    </w:p>
    <w:p>
      <w:pPr>
        <w:spacing w:line="480" w:lineRule="auto" w:before="0" w:after="0"/>
      </w:pPr>
    </w:p>
    <w:p>
      <w:pPr>
        <w:spacing w:line="480" w:lineRule="auto" w:before="0" w:after="0"/>
        <w:jc w:val="center"/>
      </w:pPr>
      <w:r>
        <w:rPr>
          <w:rFonts w:ascii="Times New Roman" w:hAnsi="Times New Roman" w:eastAsia="Times New Roman"/>
          <w:b/>
          <w:sz w:val="24"/>
        </w:rPr>
        <w:t>Author Note</w:t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>Eisuke Tokiwa  https://orcid.org/0009-0009-7124-6669</w:t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>The author has no known conflict of interest to disclose beyond that stated in the Declarations below.</w:t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>Correspondence concerning this article should be addressed to Eisuke Tokiwa, SUNBLAZE Co., Ltd., Tokyo, Japan. Email: eisuke.tokiwa@sunblaze.jp</w:t>
      </w:r>
    </w:p>
    <w:p>
      <w:pPr>
        <w:spacing w:line="480" w:lineRule="auto" w:before="0" w:after="0"/>
      </w:pP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Times New Roman" w:hAnsi="Times New Roman" w:eastAsia="Times New Roman"/>
          <w:b/>
          <w:sz w:val="24"/>
        </w:rPr>
        <w:t>Declarations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Times New Roman" w:hAnsi="Times New Roman" w:eastAsia="Times New Roman"/>
          <w:b/>
          <w:sz w:val="24"/>
        </w:rPr>
        <w:t>Conflict of Interest</w:t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>The author declares that there are no financial or personal relationships with other people or organizations that could inappropriately influence (bias) the work reported in this paper.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Times New Roman" w:hAnsi="Times New Roman" w:eastAsia="Times New Roman"/>
          <w:b/>
          <w:sz w:val="24"/>
        </w:rPr>
        <w:t>Funding</w:t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>This research was self-funded by SUNBLAZE Co., Ltd. (Tokyo, Japan). No external grant funding from agencies in the public, commercial, or not-for-profit sectors was received.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Times New Roman" w:hAnsi="Times New Roman" w:eastAsia="Times New Roman"/>
          <w:b/>
          <w:sz w:val="24"/>
        </w:rPr>
        <w:t>Ethics Approval</w:t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>The N = 354 individual-level harassment data re-analyzed in this study were originally collected under an IRB-approved protocol described in Tokiwa (2025, Research Square preprint, DOI 10.21203/rs.3.rs-7756124/v1). Secondary analysis of these de-identified data does not require additional ethics review under SUNBLAZE Co., Ltd. policy.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Times New Roman" w:hAnsi="Times New Roman" w:eastAsia="Times New Roman"/>
          <w:b/>
          <w:sz w:val="24"/>
        </w:rPr>
        <w:t>Informed Consent</w:t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>All N = 354 participants in the original survey provided informed consent for research use of their de-identified responses (per Tokiwa, 2025). The present secondary analysis introduces no new participant contact.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Times New Roman" w:hAnsi="Times New Roman" w:eastAsia="Times New Roman"/>
          <w:b/>
          <w:sz w:val="24"/>
        </w:rPr>
        <w:t>Pre-registration</w:t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>This Stage 2 Registered Report implements, without deviation, the analysis plan pre-registered as v2.0 at the Open Science Framework (DOI 10.17605/OSF.IO/3Y54U; https://osf.io/3y54u; registered 2026-04-30). The Section 6.5 Level 1 Methods Clarifications Log accompanying the v2.0 registration documents 16 minor specification clarifications applied prior to Stage 0 implementation.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Times New Roman" w:hAnsi="Times New Roman" w:eastAsia="Times New Roman"/>
          <w:b/>
          <w:sz w:val="24"/>
        </w:rPr>
        <w:t>Availability of data and material</w:t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>Public-tier supplementary artifacts (Stage 0–8 HDF5, Figures 1–6 in PNG/PDF/SVG, canonical numerical record, SHA-256 reference hashes) are openly available at the v2.0 OSF working project (osf.io/3hxz6, v2.0/v2.0_supplementary.tar.gz). The N = 354 individual-level dataset is governed by the IRB-approved data-sharing protocol and hosted in a Private OSF component with a documented Request-Access mechanism (parent project Wiki at osf.io/3hxz6/wiki/home/ lists access criteria, IRB requirements, and data-use terms). All analysis code is publicly archived under MIT license at https://github.com/etoki/paper (directory: simulation/).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Times New Roman" w:hAnsi="Times New Roman" w:eastAsia="Times New Roman"/>
          <w:b/>
          <w:sz w:val="24"/>
        </w:rPr>
        <w:t>Authors' contributions</w:t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>The sole author (Eisuke Tokiwa) was responsible for conceptualization, methodology, software, formal analysis, investigation, data curation, writing — original draft, and writing — review &amp; editing.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Times New Roman" w:hAnsi="Times New Roman" w:eastAsia="Times New Roman"/>
          <w:b/>
          <w:sz w:val="24"/>
        </w:rPr>
        <w:t>Preprint Statement</w:t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>A preprint of the original survey (the underlying N = 354 dataset and its descriptive analyses) is available at Research Square (DOI 10.21203/rs.3.rs-7756124/v1; Tokiwa, 2025). The seven HEXACO cluster centroids used as fixed parameters in this study are from the companion paper Tokiwa (2026, IEEE Access, DOI 10.1109/ACCESS.2026.3651324).</w:t>
      </w:r>
    </w:p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Times New Roman" w:hAnsi="Times New Roman" w:eastAsia="Times New Roman"/>
          <w:b/>
          <w:sz w:val="24"/>
        </w:rPr>
        <w:t>Acknowledgments</w:t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>The author thanks the anonymous external methodologist (mode B; mathematical biology background) whose review memo led to the Section 6.5 Level 1 Methods Clarifications Log, and the N = 354 survey respondents whose anonymized data made this analysis possible.</w:t>
      </w:r>
    </w:p>
    <w:p>
      <w:r>
        <w:br w:type="page"/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jc w:val="left"/>
    </w:pPr>
    <w:r>
      <w:rPr>
        <w:rFonts w:ascii="Times New Roman" w:hAnsi="Times New Roman" w:eastAsia="Times New Roman"/>
        <w:b w:val="0"/>
        <w:sz w:val="24"/>
      </w:rPr>
      <w:t>STRUCTURE DOMINATES PERSONALITY</w:t>
    </w:r>
    <w:r>
      <w:rPr>
        <w:rFonts w:ascii="Times New Roman" w:hAnsi="Times New Roman" w:eastAsia="Times New Roman"/>
        <w:sz w:val="24"/>
      </w:rPr>
      <w:tab/>
    </w:r>
    <w:r>
      <w:rPr>
        <w:rFonts w:ascii="Times New Roman" w:hAnsi="Times New Roman" w:eastAsia="Times New Roman"/>
        <w:sz w:val="24"/>
      </w:rPr>
      <w:fldChar w:fldCharType="begin"/>
      <w:instrText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