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25 primary studies retained for systematic synthesis (cataloguing 31 full-text records in Table 1, including 6 documented post-eligibility exclusions for PRISMA transparency)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or β-converted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larger studies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smallest studies in the corpus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catalogued in this review (Table 1). Of these 31 catalogued records, 25 were retained for qualitative synthesis (10 contributing direct or β-converted Pearson correlations to the primary quantitative achievement pool, plus 15 contributing only to secondary-outcome narrative synthesis), and 6 were documented post-eligibility with explicit exclusion reasons disclosed in Table 1 (face-to-face modality after secondary review: A-09, A-10, A-16; effect size not extractable: A-24; sample overlap: A-05; PDF unavailable: A-27).</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catalogued primary studies, two of the 10 contributing to the primary quantitative pool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(A-28 Yu, 2021 and A-30 Kaspar et al., 2023), and one was flagged as a conflict-of-interest study because it is the present author's own prior primary research (A-25 Tokiwa, 2025; Tokiwa is in the qualitative-synthesis retained set but did not contribute extractable </w:t>
      </w:r>
      <w:r>
        <w:rPr>
          <w:rFonts w:ascii="Times New Roman" w:hAnsi="Times New Roman" w:eastAsia="Times New Roman"/>
          <w:i/>
          <w:sz w:val="24"/>
        </w:rPr>
        <w:t>r</w:t>
      </w:r>
      <w:r>
        <w:rPr>
          <w:rFonts w:ascii="Times New Roman" w:hAnsi="Times New Roman" w:eastAsia="Times New Roman"/>
          <w:sz w:val="24"/>
        </w:rPr>
        <w:t xml:space="preserve"> values to the primary pool).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25 retained primary studies (and the 6 post-eligibility exclusions documented for transparency) are presented in Table 1. Publication years ranged from 2003 to 2025, with a marked acceleration in the COVID-19 era (2020–2022), during which roughly half of the retained studies were conducted. Analytic sample sizes (retained 25)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260. The 10 studies contributing direct or β-converted Pearson correlations to the primary achievement pool aggregated a total sample of 3,384 participants (</w:t>
      </w:r>
      <w:r>
        <w:rPr>
          <w:rFonts w:ascii="Times New Roman" w:hAnsi="Times New Roman" w:eastAsia="Times New Roman"/>
          <w:i/>
          <w:sz w:val="24"/>
        </w:rPr>
        <w:t>k</w:t>
      </w:r>
      <w:r>
        <w:rPr>
          <w:rFonts w:ascii="Times New Roman" w:hAnsi="Times New Roman" w:eastAsia="Times New Roman"/>
          <w:sz w:val="24"/>
        </w:rPr>
        <w:t xml:space="preserve"> = 10 for Conscientiousness and Neuroticism; </w:t>
      </w:r>
      <w:r>
        <w:rPr>
          <w:rFonts w:ascii="Times New Roman" w:hAnsi="Times New Roman" w:eastAsia="Times New Roman"/>
          <w:i/>
          <w:sz w:val="24"/>
        </w:rPr>
        <w:t>k</w:t>
      </w:r>
      <w:r>
        <w:rPr>
          <w:rFonts w:ascii="Times New Roman" w:hAnsi="Times New Roman" w:eastAsia="Times New Roman"/>
          <w:sz w:val="24"/>
        </w:rPr>
        <w:t xml:space="preserve"> = 9 for Openness, Extraversion, Agreeableness — A-15 Elvers reported only C and </w:t>
      </w:r>
      <w:r>
        <w:rPr>
          <w:rFonts w:ascii="Times New Roman" w:hAnsi="Times New Roman" w:eastAsia="Times New Roman"/>
          <w:i/>
          <w:sz w:val="24"/>
        </w:rPr>
        <w:t>N</w:t>
      </w:r>
      <w:r>
        <w:rPr>
          <w:rFonts w:ascii="Times New Roman" w:hAnsi="Times New Roman" w:eastAsia="Times New Roman"/>
          <w:sz w:val="24"/>
        </w:rPr>
        <w:t>).</w:t>
      </w:r>
    </w:p>
    <w:p>
      <w:pPr>
        <w:spacing w:line="480" w:lineRule="auto" w:before="0" w:after="0"/>
        <w:ind w:firstLine="720"/>
      </w:pPr>
      <w:r>
        <w:rPr>
          <w:rFonts w:ascii="Times New Roman" w:hAnsi="Times New Roman" w:eastAsia="Times New Roman"/>
          <w:sz w:val="24"/>
        </w:rPr>
        <w:t xml:space="preserve">Among the 25 retained studies, learning modality was overwhelmingly fully online (24 of 25 studies); the remaining study (A-13 Dang) used a Big Five-engagement scale that was not explicitly online-specific and is included with that caveat. The asynchronous/synchronous distinction was explicitly reported for a minority of records. Education levels comprised K-12 (2 studies: A-25 Tokiwa, A-26 Wang), undergraduate (15 studies), mixed undergraduate/graduate (5 studies: A-08, A-18, A-20, A-28, A-30), graduate only (2 studies: A-07 Cohen &amp; Baruth, 2017; A-37 Zheng &amp; Zheng, 2023), and mixed secondary/post-secondary (1 study: A-11 Cheng et al., 2023). Regional distribution, important for the pre-registered Asian-amplification moderator analysis, was Asia (12 studies; includes East Asian and Middle Eastern samples), Europe (7 studies), and North America (6 studies); within the primary quantitative pool the Asian subset is reduced to </w:t>
      </w:r>
      <w:r>
        <w:rPr>
          <w:rFonts w:ascii="Times New Roman" w:hAnsi="Times New Roman" w:eastAsia="Times New Roman"/>
          <w:i/>
          <w:sz w:val="24"/>
        </w:rPr>
        <w:t>k</w:t>
      </w:r>
      <w:r>
        <w:rPr>
          <w:rFonts w:ascii="Times New Roman" w:hAnsi="Times New Roman" w:eastAsia="Times New Roman"/>
          <w:sz w:val="24"/>
        </w:rPr>
        <w:t xml:space="preserve"> = 2. Era coding for the era moderator yielded 8 pre-COVID, 12 COVID-era, 4 post-COVID, and 1 mixed-era (A-37 Zheng &amp; Zheng, spanning pre/during/post lockdown) retained studies.</w:t>
      </w:r>
    </w:p>
    <w:p>
      <w:pPr>
        <w:spacing w:line="480" w:lineRule="auto" w:before="0" w:after="0"/>
        <w:ind w:firstLine="720"/>
      </w:pPr>
      <w:r>
        <w:rPr>
          <w:rFonts w:ascii="Times New Roman" w:hAnsi="Times New Roman" w:eastAsia="Times New Roman"/>
          <w:sz w:val="24"/>
        </w:rPr>
        <w:t>Personality measurement instruments used across the 25 retained studies comprised the Big Five Inventory family (BFI-44, BFI-2, BFI-S; 13 studies), the NEO Personality Inventory family (NEO-FFI; 2 studies), the International Personality Item Pool (IPIP, Mini-IPIP; 3 studies), the HEXACO Personality Inventory (1 study: A-19 MacLean, 2022), the Ten-Item Personality Inventory (TIPI, TIPI-J; 2 studies: A-31 Rivers, A-37 Zheng &amp; Zheng), and other validated Big Five–aligned scales (Sahinidis &amp; Tsaknis's 30-item custom scale, Chinese-language Big Five scales of A-20 and A-26, and McCrae's 40-item scale used in A-28 Yu; 4 studies in total). Achievement outcomes in the 10-study primary pool were operationalized as GPA or course grade (6 studies: A-02 Alkis, A-23 Rodrigues, A-29 Bahçekapılı, A-31 Rivers, A-37 Zheng &amp; Zheng, plus the paper-grade subscale of A-01 Abe), standardized exam (1 study: A-15 Elvers Intro-Psych exam), MOOC platform composite (1 study: A-28 Yu), and self-rated performance (2 studies: A-22 Quigley OSES subscale; A-30 Kaspar self-rated performance composite). Secondary outcomes — satisfaction, engagement, preference, or perception — were the only available outcome in the remaining 15 retained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25 retained studies was 5.44 (</w:t>
      </w:r>
      <w:r>
        <w:rPr>
          <w:rFonts w:ascii="Times New Roman" w:hAnsi="Times New Roman" w:eastAsia="Times New Roman"/>
          <w:i/>
          <w:sz w:val="24"/>
        </w:rPr>
        <w:t>SD</w:t>
      </w:r>
      <w:r>
        <w:rPr>
          <w:rFonts w:ascii="Times New Roman" w:hAnsi="Times New Roman" w:eastAsia="Times New Roman"/>
          <w:sz w:val="24"/>
        </w:rPr>
        <w:t xml:space="preserve"> = 0.87, range = 4–7). Twenty-one studies scored at or above the pre-specified low-bias threshold of 5, while four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catalogued primary studies — 25 retained for qualitative synthesis,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Advance online publication.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Inc-sec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Inc-pri*</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column groups studies into three tiers: (1) QUANTITATIVE PRIMARY POOL (</w:t>
      </w:r>
      <w:r>
        <w:rPr>
          <w:rFonts w:ascii="Times New Roman" w:hAnsi="Times New Roman" w:eastAsia="Times New Roman"/>
          <w:i/>
          <w:sz w:val="24"/>
        </w:rPr>
        <w:t>k</w:t>
      </w:r>
      <w:r>
        <w:rPr>
          <w:rFonts w:ascii="Times New Roman" w:hAnsi="Times New Roman" w:eastAsia="Times New Roman"/>
          <w:sz w:val="24"/>
        </w:rPr>
        <w:t xml:space="preserve"> = 10) — Inc-pri = included in primary achievement pool with direct r; Inc-pri* = included with caveat (β-converted, partial trait coverage, or conditional outcome proxy); Inc (COI) = included with conflict-of-interest flag (author's own prior study, sensitivity analysis excludes). (2) QUALITATIVE / SECONDARY SYNTHESIS (retained for narrative) — Inc-sec = retained in the systematic review for secondary outcomes (satisfaction, engagement, preference, perception) but no extractable </w:t>
      </w:r>
      <w:r>
        <w:rPr>
          <w:rFonts w:ascii="Times New Roman" w:hAnsi="Times New Roman" w:eastAsia="Times New Roman"/>
          <w:i/>
          <w:sz w:val="24"/>
        </w:rPr>
        <w:t>r</w:t>
      </w:r>
      <w:r>
        <w:rPr>
          <w:rFonts w:ascii="Times New Roman" w:hAnsi="Times New Roman" w:eastAsia="Times New Roman"/>
          <w:sz w:val="24"/>
        </w:rPr>
        <w:t xml:space="preserve"> for the primary achievement pool. (3) EXCLUDED POST-ELIGIBILITY (documented for PRISMA transparency, NOT in synthesis) — Exc = excluded at eligibility (face-to-face modality, or no extractable effect size); Exc-dup = excluded due to sample overlap with an already-included study; — = PDF could not be retrieved. The 31 catalogued studies decompose as: 10 primary + 15 secondary = 25 retained, plus 6 documented post-eligibility exclusions. RoB = aggregate score on the Joanna Briggs Institute 8-item critical appraisal checklist (0–8; higher = lower risk). A-14 Eilam (2009) and A-27 Wu &amp; Yu (2024) are omitted from the table because the former was excluded at the modality screening stage (face-to-face) and the latter was not available as a retrievable PDF; both are disclosed in the PRISMA flow (Figure 1).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Eleven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remaining studies, supplemented by four newly identified primary studies (A-29 Bahçekapılı &amp; Karaman, 2020; A-30 Kaspar et al., 2023; A-31 Rivers, 2021; A-37 Zheng &amp; Zheng, 2023), yielded 31 primary studies catalogued in this review (Table 1). Of these, 25 were retained for qualitative synthesis, and 10 contributed direct Pearson correlations or β-converted effect sizes to the primary quantitative achievement pool (with two studies — A-28 Yu, 2021 and A-30 Kaspar et al., 2023 — providing β-converted effect sizes via Peterson and Brown's, 2005, approximation). The remaining 15 retained studies contributed only to secondary-outcome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