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Characteristics of the 31 Included Primary Studies and Their Contributions to the Quantitative Synthesis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Author (Year)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Country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Mode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Level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Region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Instrument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Outcome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Inclusion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16"/>
              </w:rPr>
              <w:t>RoB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Abe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92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Alkis (2018)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Ashouri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183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Iran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Audet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678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Exc-dup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Sahinidis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555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Greece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Custom 30-item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Cohen (2017)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Keller (2013)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IPIP-50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A-09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Bhattacharjee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384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India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Boonyapison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Thailand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746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Sec/Post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BFI_C_only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Baruth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Israel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Hebrew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Dang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235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NEO-FFI_Chinese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Elvers (2003)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NEO-FFI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procrastination_exam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Hidalgo-Fuentes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457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Honduras+Spain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FtF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procrastination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Kara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Bhagat (2019)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208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Taiwan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Mini-IPIP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perception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A-19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MacLean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Canada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HEXACO-PI-R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preference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Mustafa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718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satisfaction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Nakayama (2014)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IPIP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test_score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Inc-sec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Quigley (2022)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301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UK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engagement_performance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Rodrigues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260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Tlili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Tunisia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Other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navigational_behavior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Exc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Tokiwa (2025)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BFI-2-J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test_completion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 (COI)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A-26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Wang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1625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K-12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post-COVID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Chinese 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achievement_self_report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Wu_Yu (2024)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1004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e_learning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engagement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—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A-28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Yu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1152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China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Big Five Scale (McCrae)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MOOC_composite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7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A-29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Bahcekapili (2020)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525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Turkey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pre-COVID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BFI-44 Turkish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GPA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A-30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Kaspar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413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Germany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UG/Grad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Europe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BFI-S German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performance_self_rated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5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A-31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Rivers (2021)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149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Japan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UG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COVID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Asia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TIPI-J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6</w:t>
            </w:r>
          </w:p>
        </w:tc>
      </w:tr>
      <w:tr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A-37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Zheng (2023)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282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US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Online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Grad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Mixed_3era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North_America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TIPI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course_grade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Inc-pri*</w:t>
            </w:r>
          </w:p>
        </w:tc>
        <w:tc>
          <w:tcPr>
            <w:tcW w:type="dxa" w:w="78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6"/>
              </w:rPr>
              <w:t>4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ID = study identifier in the deep-reading-notes ledger (A-XX sequence).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analytic sample size. Mode (modality): Online = fully online; FtF = face-to-face (excluded at modality screening); Mixed = blended or mode-comparing design; Online* = mode not explicitly specified in the source. Level (education level): UG = undergraduate; Grad = graduate; UG/Grad = mixed undergraduate-graduate; K-12 = elementary through high school; Sec/Post = mixed secondary-postsecondary. Era: pre-COVID ≤ 2019; COVID = 2020–2022; post-COVID ≥ 2023. Region: classified per country of data collection. Instrument: abbreviated personality inventory label. Outcome: abbreviated outcome construct. Inclusion column groups studies into three tiers: (1) QUANTITATIVE PRIMARY POOL (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10) — Inc-pri = included in primary achievement pool with direct r; Inc-pri* = included with caveat (β-converted, partial trait coverage, or conditional outcome proxy); Inc (COI) = included with conflict-of-interest flag (author's own prior study, sensitivity analysis excludes). (2) QUALITATIVE / SECONDARY SYNTHESIS (retained for narrative) — Inc-sec = retained in the systematic review for secondary outcomes (satisfaction, engagement, preference, perception) but no extractable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for the primary achievement pool. (3) EXCLUDED POST-ELIGIBILITY (documented for PRISMA transparency, NOT in synthesis) — Exc = excluded at eligibility (face-to-face modality, or no extractable effect size); Exc-dup = excluded due to sample overlap with an already-included study; — = PDF could not be retrieved. The 31 catalogued studies decompose as: 10 primary + 15 secondary = 25 retained, plus 6 documented post-eligibility exclusions. RoB = aggregate score on the Joanna Briggs Institute 8-item critical appraisal checklist (0–8; higher = lower risk). A-14 Eilam (2009) and A-27 Wu &amp; Yu (2024) are omitted from the table because the former was excluded at the modality screening stage (face-to-face) and the latter was not available as a retrievable PDF; both are disclosed in the PRISMA flow (Figure 1). Author-correction notes for studies whose original bibliographic metadata differed from the verified author, year, or country (A-06, A-07, A-08, A-12, A-13, A-16, A-18, A-20) are provided in the OSF project (Supplementary Material).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Random-Effects Pooled Correlations Between Big Five Personality Traits and Academic Achievement in Online Learning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CI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95% PI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τ²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Q(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[.089, .243]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[−.020, .343]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65.1%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25.79(9), .002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[−.031, .250]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[−.310, .496]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96.2%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208.49(8),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[−.044, .214]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[−.273, .425]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92.0%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.021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100.17(8),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3,384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[−.079, .114]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[−.229, .263]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79.0%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.010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42.76(9), &lt;.001</w:t>
            </w:r>
          </w:p>
        </w:tc>
      </w:tr>
      <w:tr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3,363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[−.076, .080]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[−.195, .200]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75.5%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.006</w:t>
            </w:r>
          </w:p>
        </w:tc>
        <w:tc>
          <w:tcPr>
            <w:tcW w:type="dxa" w:w="104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32.66(8), &lt;.001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independent samples contributing a direct Pearson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or Peterson-Brown-converted </w:t>
      </w:r>
      <w:r>
        <w:rPr>
          <w:rFonts w:ascii="Times New Roman" w:hAnsi="Times New Roman" w:eastAsia="Times New Roman"/>
          <w:i/>
          <w:sz w:val="24"/>
        </w:rPr>
        <w:t>β</w:t>
      </w:r>
      <w:r>
        <w:rPr>
          <w:rFonts w:ascii="Times New Roman" w:hAnsi="Times New Roman" w:eastAsia="Times New Roman"/>
          <w:sz w:val="24"/>
        </w:rPr>
        <w:t xml:space="preserve"> to the trait pool. 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total pooled sample size.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= random-effects REML pooled correlation on the Fisher </w:t>
      </w:r>
      <w:r>
        <w:rPr>
          <w:rFonts w:ascii="Times New Roman" w:hAnsi="Times New Roman" w:eastAsia="Times New Roman"/>
          <w:i/>
          <w:sz w:val="24"/>
        </w:rPr>
        <w:t>z</w:t>
      </w:r>
      <w:r>
        <w:rPr>
          <w:rFonts w:ascii="Times New Roman" w:hAnsi="Times New Roman" w:eastAsia="Times New Roman"/>
          <w:sz w:val="24"/>
        </w:rPr>
        <w:t xml:space="preserve"> scale, back-transformed to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for display. 95% CI = Hartung-Knapp-Sidik-Jonkman–adjusted confidence interval. 95% PI = prediction interval for true effects in a new study.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= Higgins &amp; Thompson's heterogeneity index. </w:t>
      </w:r>
      <w:r>
        <w:rPr>
          <w:rFonts w:ascii="Times New Roman" w:hAnsi="Times New Roman" w:eastAsia="Times New Roman"/>
          <w:i/>
          <w:sz w:val="24"/>
        </w:rPr>
        <w:t>τ²</w:t>
      </w:r>
      <w:r>
        <w:rPr>
          <w:rFonts w:ascii="Times New Roman" w:hAnsi="Times New Roman" w:eastAsia="Times New Roman"/>
          <w:sz w:val="24"/>
        </w:rPr>
        <w:t xml:space="preserve"> = REML between-study variance. </w:t>
      </w:r>
      <w:r>
        <w:rPr>
          <w:rFonts w:ascii="Times New Roman" w:hAnsi="Times New Roman" w:eastAsia="Times New Roman"/>
          <w:i/>
          <w:sz w:val="24"/>
        </w:rPr>
        <w:t>Q</w:t>
      </w:r>
      <w:r>
        <w:rPr>
          <w:rFonts w:ascii="Times New Roman" w:hAnsi="Times New Roman" w:eastAsia="Times New Roman"/>
          <w:sz w:val="24"/>
        </w:rPr>
        <w:t xml:space="preserve"> = Cochran's heterogeneity statistic; </w:t>
      </w:r>
      <w:r>
        <w:rPr>
          <w:rFonts w:ascii="Times New Roman" w:hAnsi="Times New Roman" w:eastAsia="Times New Roman"/>
          <w:i/>
          <w:sz w:val="24"/>
        </w:rPr>
        <w:t>df</w:t>
      </w:r>
      <w:r>
        <w:rPr>
          <w:rFonts w:ascii="Times New Roman" w:hAnsi="Times New Roman" w:eastAsia="Times New Roman"/>
          <w:sz w:val="24"/>
        </w:rPr>
        <w:t xml:space="preserve"> = degrees of freedom;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associated p-value. Traits are sorted by pooled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(descending).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Subgroup Moderator Analyses: Region, Era, and Outcome Type per Big Five Trait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Moderator / 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Level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Q_between(</w:t>
            </w:r>
            <w:r>
              <w:rPr>
                <w:rFonts w:ascii="Times New Roman" w:hAnsi="Times New Roman" w:eastAsia="Times New Roman"/>
                <w:i/>
                <w:sz w:val="24"/>
              </w:rPr>
              <w:t>df</w:t>
            </w:r>
            <w:r>
              <w:rPr>
                <w:rFonts w:ascii="Times New Roman" w:hAnsi="Times New Roman" w:eastAsia="Times New Roman"/>
                <w:sz w:val="24"/>
              </w:rPr>
              <w:t xml:space="preserve">),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.185 [.082, .284]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2.68(1), .102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.111 [−.039, .257]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.053 [−.060, .164]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0.26(1), .612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.164 [−.989, .994]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.050 [−.004, .104]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46.43(1), &lt;.001 †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−.131 [−.314, .061]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.030 [−.047, .106]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2.17(1), .140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.330 [−.981, .995]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Region: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non-Asia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−.007 [−.130, .117]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3.31(1), .069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Asia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.089 [.008, .169]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.208 [−.041, .434]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0.13(1), .716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.179 [.095, .260]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.098 [−.423, .570]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0.00(1), .994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.097 [−.123, .308]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.033 [.002, .063]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0.59(1), .443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−.014 [−.180, .153]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.033 [−.162, .225]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1.09(1), .296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.153 [−.141, .422]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Era: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pre-COVID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−.050 [−.173, .074]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2.04(1), .153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COVID-era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.060 [−.125, .240]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.147 [.076, .217]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2.40(1), .121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.225 [.126, .319]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.092 [−.068, .246]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0.04(1), .839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.072 [−.027, .170]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−.038 [−.134, .060]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17.30(1), &lt;.001 †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.117 [.017,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.131 [−.088, .336]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0.49(1), .485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.041 [−.056, .137]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Outcome: 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objective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−.009 [−.154, .137]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0.82(1), .364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self-rated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.120 [−.142, .364]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number of studies contributing to each subgroup. </w:t>
      </w:r>
      <w:r>
        <w:rPr>
          <w:rFonts w:ascii="Times New Roman" w:hAnsi="Times New Roman" w:eastAsia="Times New Roman"/>
          <w:i/>
          <w:sz w:val="24"/>
        </w:rPr>
        <w:t>Q_between</w:t>
      </w:r>
      <w:r>
        <w:rPr>
          <w:rFonts w:ascii="Times New Roman" w:hAnsi="Times New Roman" w:eastAsia="Times New Roman"/>
          <w:sz w:val="24"/>
        </w:rPr>
        <w:t xml:space="preserve"> = between-subgroup heterogeneity statistic testing whether subgroups' pooled effects differ significantly. Dagger (†) indicates the two significant subgroup differences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.001 after Holm-Bonferroni correction within the Extraversion trait pool. Categorical levels: Asia = East or Middle Eastern samples; non-Asia = European, North American, or Other regions. Era: pre-COVID = data collected ≤2019; COVID-era = 2020–2022. Post-COVID studies (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= 2) were insufficient for subgroup isolation. Outcome type: objective = GPA, course grade, standardized exam, or MOOC platform composite; self-rated = student self-reported performance.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4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Pre-Specified Sensitivity Analyses of the Primary Pooled Effect Sizes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Trait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Analysis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k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 [95% CI]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Δr vs primary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Conscientiousness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.203 [.095, .307]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+.036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.182 [.099, .262]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2.14,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.094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.167 [.089, .243]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Openness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 [−.044,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.086 [−.044, .214]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.031 [−.127, .184]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−.055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.097 [−.040, .228]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−6.41,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.045 †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.107 [−.017, .228]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+.021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Extraversion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 [−.076,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.002 [−.076, .080]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[−.081, .117]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+.016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.003 [−.080, .086]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2.29,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.255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11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−.036 [−.117, .046]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−.038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Agreeableness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.067 [−.089, .219]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−.045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8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.126 [−.028, .273]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+.014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−8.53,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.072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.112 [−.031, .250]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Neuroticism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Primary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Tokiwa (COI)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β-converted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7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−.043 [−.165, .082]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−.061 ‡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Exclude RoB &lt; 5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9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.019 [−.084, .121]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+.001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Egger regression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intercept = −1.79,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 xml:space="preserve"> = .304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Trim-and-fill adjusted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.018 [−.079, .114]</w:t>
            </w:r>
          </w:p>
        </w:tc>
        <w:tc>
          <w:tcPr>
            <w:tcW w:type="dxa" w:w="1872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±.000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Δr = change in pooled correlation from the primary analysis. A double dagger (‡) denotes a sensitivity-analysis-induced shift exceeding |Δr| = .05, which is considered potentially influential per the pre-registered threshold. A single dagger (†) denotes a significant Egger test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.05. "Exclude Tokiwa (COI)" removes the present author's prior primary study (Tokiwa, 2025); the zero delta reflects that this study did not contribute a direct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to the primary pool. "Exclude β-converted" restricts the pool to studies reporting direct Pearson </w:t>
      </w:r>
      <w:r>
        <w:rPr>
          <w:rFonts w:ascii="Times New Roman" w:hAnsi="Times New Roman" w:eastAsia="Times New Roman"/>
          <w:i/>
          <w:sz w:val="24"/>
        </w:rPr>
        <w:t>r</w:t>
      </w:r>
      <w:r>
        <w:rPr>
          <w:rFonts w:ascii="Times New Roman" w:hAnsi="Times New Roman" w:eastAsia="Times New Roman"/>
          <w:sz w:val="24"/>
        </w:rPr>
        <w:t xml:space="preserve"> or Spearman </w:t>
      </w:r>
      <w:r>
        <w:rPr>
          <w:rFonts w:ascii="Times New Roman" w:hAnsi="Times New Roman" w:eastAsia="Times New Roman"/>
          <w:i/>
          <w:sz w:val="24"/>
        </w:rPr>
        <w:t>ρ</w:t>
      </w:r>
      <w:r>
        <w:rPr>
          <w:rFonts w:ascii="Times New Roman" w:hAnsi="Times New Roman" w:eastAsia="Times New Roman"/>
          <w:sz w:val="24"/>
        </w:rPr>
        <w:t>. "Exclude RoB &lt; 5" removes studies scoring below the pre-specified low-bias threshold of 5 on the JBI 8-item checklist.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Table 5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GRADE Summary of Findings: Confidence in the Pooled Associations Between Big Five Personality Traits and Academic Achievement in Online Learning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Trait 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Risk of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Inconsistency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Indirectness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Imprecision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Publication Bias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Magnitude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GRADE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Conscientiousness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JBI=5.9)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=65.1%)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(CI width=.15)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=.094)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=.167)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Moderate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Openness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=92.0%)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crosses 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=.045) †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=.086)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Extraversion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=75.5%)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(null robust)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=.255)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Null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=.002)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Moderate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Agreeableness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=9,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=3,363)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JBI=5.7)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Very 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=96.2%)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(CI crosses 0)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=.072) †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Small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=.112)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  <w:tr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Neuroticism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k</w:t>
            </w:r>
            <w:r>
              <w:rPr>
                <w:rFonts w:ascii="Times New Roman" w:hAnsi="Times New Roman" w:eastAsia="Times New Roman"/>
                <w:sz w:val="24"/>
              </w:rPr>
              <w:t xml:space="preserve">=10, </w:t>
            </w:r>
            <w:r>
              <w:rPr>
                <w:rFonts w:ascii="Times New Roman" w:hAnsi="Times New Roman" w:eastAsia="Times New Roman"/>
                <w:i/>
                <w:sz w:val="24"/>
              </w:rPr>
              <w:t>N</w:t>
            </w:r>
            <w:r>
              <w:rPr>
                <w:rFonts w:ascii="Times New Roman" w:hAnsi="Times New Roman" w:eastAsia="Times New Roman"/>
                <w:sz w:val="24"/>
              </w:rPr>
              <w:t>=3,384)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  <w:br/>
              <w:t>(mean JBI=5.9)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Serious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I²</w:t>
            </w:r>
            <w:r>
              <w:rPr>
                <w:rFonts w:ascii="Times New Roman" w:hAnsi="Times New Roman" w:eastAsia="Times New Roman"/>
                <w:sz w:val="24"/>
              </w:rPr>
              <w:t>=79.0%)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Not serious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Serious</w:t>
              <w:br/>
              <w:t>(null, wide CI)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Not serious</w:t>
              <w:br/>
              <w:t xml:space="preserve">(Egger </w:t>
            </w:r>
            <w:r>
              <w:rPr>
                <w:rFonts w:ascii="Times New Roman" w:hAnsi="Times New Roman" w:eastAsia="Times New Roman"/>
                <w:i/>
                <w:sz w:val="24"/>
              </w:rPr>
              <w:t>p</w:t>
            </w:r>
            <w:r>
              <w:rPr>
                <w:rFonts w:ascii="Times New Roman" w:hAnsi="Times New Roman" w:eastAsia="Times New Roman"/>
                <w:sz w:val="24"/>
              </w:rPr>
              <w:t>=.304)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4"/>
              </w:rPr>
              <w:t>Null</w:t>
              <w:br/>
              <w:t>(</w:t>
            </w:r>
            <w:r>
              <w:rPr>
                <w:rFonts w:ascii="Times New Roman" w:hAnsi="Times New Roman" w:eastAsia="Times New Roman"/>
                <w:i/>
                <w:sz w:val="24"/>
              </w:rPr>
              <w:t>r</w:t>
            </w:r>
            <w:r>
              <w:rPr>
                <w:rFonts w:ascii="Times New Roman" w:hAnsi="Times New Roman" w:eastAsia="Times New Roman"/>
                <w:sz w:val="24"/>
              </w:rPr>
              <w:t>=.018)</w:t>
            </w:r>
          </w:p>
        </w:tc>
        <w:tc>
          <w:tcPr>
            <w:tcW w:type="dxa" w:w="1170"/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sz w:val="20"/>
              </w:rPr>
              <w:t>Low</w:t>
            </w:r>
          </w:p>
        </w:tc>
      </w:tr>
    </w:tbl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Note. GRADE = Grading of Recommendations, Assessment, Development and Evaluations, adapted for observational correlational syntheses (Schünemann et al., 2019). Five standard domains are evaluated per trait: Risk of Bias (mean JBI aggregate score across studies in the pool; serious if mean &lt; 5), Inconsistency (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and prediction interval;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50%, very serious if </w:t>
      </w:r>
      <w:r>
        <w:rPr>
          <w:rFonts w:ascii="Times New Roman" w:hAnsi="Times New Roman" w:eastAsia="Times New Roman"/>
          <w:i/>
          <w:sz w:val="24"/>
        </w:rPr>
        <w:t>I²</w:t>
      </w:r>
      <w:r>
        <w:rPr>
          <w:rFonts w:ascii="Times New Roman" w:hAnsi="Times New Roman" w:eastAsia="Times New Roman"/>
          <w:sz w:val="24"/>
        </w:rPr>
        <w:t xml:space="preserve"> &gt; 75%), Indirectness (population, exposure, or outcome indirectness relative to the review question), Imprecision (serious if 95% CI crosses the null or is wider than 2 × MOI of |r| = .10), and Publication Bias (serious if Egger's test is significant at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&lt; .05 with asymmetric funnel plot). Magnitude (|r|) is provided for descriptive context but was not grounds for upgrade under the large-magnitude criterion of |r| ≥ .30. Dagger (†) denotes Egger's test intercept suggestive of small-study or publication bias. GRADE ratings: High = further research is very unlikely to change confidence; Moderate = further research is likely to have an important impact; Low = further research is very likely to have an important impact; Very Low = any estimate of effect is very uncertain. All estimates in the present synthesis fall within the Moderate-to-Low confidence range, reflecting the modest </w:t>
      </w:r>
      <w:r>
        <w:rPr>
          <w:rFonts w:ascii="Times New Roman" w:hAnsi="Times New Roman" w:eastAsia="Times New Roman"/>
          <w:i/>
          <w:sz w:val="24"/>
        </w:rPr>
        <w:t>k</w:t>
      </w:r>
      <w:r>
        <w:rPr>
          <w:rFonts w:ascii="Times New Roman" w:hAnsi="Times New Roman" w:eastAsia="Times New Roman"/>
          <w:sz w:val="24"/>
        </w:rPr>
        <w:t xml:space="preserve"> of the available online-specific literature.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rPr>
        <w:rFonts w:ascii="Times New Roman" w:hAnsi="Times New Roman" w:eastAsia="Times New Roman"/>
        <w:sz w:val="24"/>
      </w:rPr>
      <w:t>BIG FIVE AND ONLINE LEARNING</w:t>
      <w:tab/>
      <w:tab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