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b71a0d07eb264886c9b837732a2ed8958371c03"/>
    <w:p>
      <w:pPr>
        <w:pStyle w:val="Heading1"/>
      </w:pPr>
      <w:r>
        <w:t xml:space="preserve">Cover Letter — ECEL 2026 Full Paper Submission</w:t>
      </w:r>
    </w:p>
    <w:p>
      <w:pPr>
        <w:pStyle w:val="FirstParagraph"/>
      </w:pPr>
      <w:r>
        <w:rPr>
          <w:bCs/>
          <w:b/>
        </w:rPr>
        <w:t xml:space="preserve">To</w:t>
      </w:r>
      <w:r>
        <w:t xml:space="preserve">: Conference Chairs, ECEL 2026</w:t>
      </w:r>
      <w:r>
        <w:t xml:space="preserve"> </w:t>
      </w:r>
      <w:r>
        <w:rPr>
          <w:bCs/>
          <w:b/>
        </w:rPr>
        <w:t xml:space="preserve">Submission contact</w:t>
      </w:r>
      <w:r>
        <w:t xml:space="preserve">: helen@academic-conferences.org</w:t>
      </w:r>
      <w:r>
        <w:t xml:space="preserve"> </w:t>
      </w:r>
      <w:r>
        <w:rPr>
          <w:bCs/>
          <w:b/>
        </w:rPr>
        <w:t xml:space="preserve">General contact</w:t>
      </w:r>
      <w:r>
        <w:t xml:space="preserve">: info@academic-conferences.org</w:t>
      </w:r>
      <w:r>
        <w:t xml:space="preserve"> </w:t>
      </w:r>
      <w:r>
        <w:rPr>
          <w:bCs/>
          <w:b/>
        </w:rPr>
        <w:t xml:space="preserve">From</w:t>
      </w:r>
      <w:r>
        <w:t xml:space="preserve">: Eisuke Tokiwa, SUNBLAZE Co., Ltd., Tokyo, Japan (ORCID 0009-0009-7124-6669)</w:t>
      </w:r>
      <w:r>
        <w:t xml:space="preserve"> </w:t>
      </w:r>
      <w:r>
        <w:rPr>
          <w:bCs/>
          <w:b/>
        </w:rPr>
        <w:t xml:space="preserve">Date</w:t>
      </w:r>
      <w:r>
        <w:t xml:space="preserve">: 2026-05-21 (full paper review deadline)</w:t>
      </w:r>
      <w:r>
        <w:t xml:space="preserve"> </w:t>
      </w:r>
      <w:r>
        <w:rPr>
          <w:bCs/>
          <w:b/>
        </w:rPr>
        <w:t xml:space="preserve">Subject</w:t>
      </w:r>
      <w:r>
        <w:t xml:space="preserve">: ECEL 2026 full paper submission —</w:t>
      </w:r>
      <w:r>
        <w:t xml:space="preserve"> </w:t>
      </w:r>
      <w:r>
        <w:rPr>
          <w:iCs/>
          <w:i/>
        </w:rPr>
        <w:t xml:space="preserve">Modality matters for Extraversion: A modality-stratified meta-regression of the Big Five personality traits and academic achievement in online learning environments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ECEL 2026 Programme Committee,</w:t>
      </w:r>
    </w:p>
    <w:p>
      <w:pPr>
        <w:pStyle w:val="BodyText"/>
      </w:pPr>
      <w:r>
        <w:t xml:space="preserve">I am pleased to submit the enclosed full paper,</w:t>
      </w:r>
      <w:r>
        <w:t xml:space="preserve"> </w:t>
      </w:r>
      <w:r>
        <w:rPr>
          <w:iCs/>
          <w:i/>
        </w:rPr>
        <w:t xml:space="preserve">Modality matters for Extraversion: A modality-stratified meta-regression of the Big Five personality traits and academic achievement in online learning environments</w:t>
      </w:r>
      <w:r>
        <w:t xml:space="preserve">, for consideration at the 25th European Conference on e-Learning, to be held at Lund University, 22–23 October 2026.</w:t>
      </w:r>
    </w:p>
    <w:bookmarkStart w:id="20" w:name="manuscript-summary"/>
    <w:p>
      <w:pPr>
        <w:pStyle w:val="Heading2"/>
      </w:pPr>
      <w:r>
        <w:t xml:space="preserve">Manuscript summary</w:t>
      </w:r>
    </w:p>
    <w:p>
      <w:pPr>
        <w:pStyle w:val="FirstParagraph"/>
      </w:pPr>
      <w:r>
        <w:t xml:space="preserve">This paper reports a modality-stratified random-effects meta-regression (REML + Hartung–Knapp adjustment) of 13 primary studies (combined N ≈ 6,200) drawn from a corpus of 31 Big Five × online-learning studies. The headline result is a</w:t>
      </w:r>
      <w:r>
        <w:t xml:space="preserve"> </w:t>
      </w:r>
      <w:r>
        <w:rPr>
          <w:bCs/>
          <w:b/>
        </w:rPr>
        <w:t xml:space="preserve">modality × Extraversion interaction</w:t>
      </w:r>
      <w:r>
        <w:t xml:space="preserve"> </w:t>
      </w:r>
      <w:r>
        <w:t xml:space="preserve">that is not detectable in any pooled estimate to date in this literature: the Extraversion–achievement correlation is</w:t>
      </w:r>
      <w:r>
        <w:t xml:space="preserve"> </w:t>
      </w:r>
      <w:r>
        <w:rPr>
          <w:iCs/>
          <w:i/>
        </w:rPr>
        <w:t xml:space="preserve">negative</w:t>
      </w:r>
      <w:r>
        <w:t xml:space="preserve"> </w:t>
      </w:r>
      <w:r>
        <w:t xml:space="preserve">in fully-asynchronous online settings (r ≈ −0.13, k = 6) and</w:t>
      </w:r>
      <w:r>
        <w:t xml:space="preserve"> </w:t>
      </w:r>
      <w:r>
        <w:rPr>
          <w:iCs/>
          <w:i/>
        </w:rPr>
        <w:t xml:space="preserve">near zero or weakly positive</w:t>
      </w:r>
      <w:r>
        <w:t xml:space="preserve"> </w:t>
      </w:r>
      <w:r>
        <w:t xml:space="preserve">in synchronous and blended settings (r ≈ +0.02 to +0.05, k = 5). A modality × trait interaction model with HKSJ adjustment confirms that the contrast is statistically robust (Q_between p &lt; .001 for E; n.s. for the four other traits, confirming that the effect is Extraversion-specific). The paper interprets this asymmetry as a self-regulated-learning-load effect: asynchronous formats penalise learners whose preferred mode of engagement is interpersonal interaction.</w:t>
      </w:r>
    </w:p>
    <w:bookmarkEnd w:id="20"/>
    <w:bookmarkStart w:id="21" w:name="fit-with-the-ecel-scope"/>
    <w:p>
      <w:pPr>
        <w:pStyle w:val="Heading2"/>
      </w:pPr>
      <w:r>
        <w:t xml:space="preserve">Fit with the ECEL scope</w:t>
      </w:r>
    </w:p>
    <w:p>
      <w:pPr>
        <w:pStyle w:val="FirstParagraph"/>
      </w:pPr>
      <w:r>
        <w:t xml:space="preserve">ECEL’s scope explicitly foregrounds modality (synchronous / asynchronous / blended) as a first-order moderator of e-learning outcomes. The paper’s contribution is a quantitative synthesis on exactly that axis, with a level of methodological detail (PRISMA 2020 flow, REML pooling primitives, three sensitivity scenarios, and a transparent COI flag for the author’s own primary study A-25 Tokiwa 2025) that aims to set a reproducibility benchmark for trait × modality syntheses in e-learning research.</w:t>
      </w:r>
    </w:p>
    <w:bookmarkEnd w:id="21"/>
    <w:bookmarkStart w:id="22" w:name="disclosure-of-related-preprint"/>
    <w:p>
      <w:pPr>
        <w:pStyle w:val="Heading2"/>
      </w:pPr>
      <w:r>
        <w:t xml:space="preserve">Disclosure of related preprint</w:t>
      </w:r>
    </w:p>
    <w:p>
      <w:pPr>
        <w:pStyle w:val="FirstParagraph"/>
      </w:pPr>
      <w:r>
        <w:t xml:space="preserve">A broader systematic review and meta-analysis by the same author was deposited on Research Square (DOI 10.21203/rs.3.rs-9513298/v1, posted 27 April 2026, CC BY 4.0). The present ECEL paper extends that work with</w:t>
      </w:r>
      <w:r>
        <w:t xml:space="preserve"> </w:t>
      </w:r>
      <w:r>
        <w:rPr>
          <w:bCs/>
          <w:b/>
        </w:rPr>
        <w:t xml:space="preserve">(i) modality-stratified pools, (ii) a modality × trait interaction model, and (iii) modality-specific sensitivity scenarios</w:t>
      </w:r>
      <w:r>
        <w:t xml:space="preserve">, none of which appear in the preprint. The Research Square version remains the parent record. Should ECEL’s policy require migration to a different preprint server, the author is prepared to coordinate accordingly.</w:t>
      </w:r>
    </w:p>
    <w:bookmarkEnd w:id="22"/>
    <w:bookmarkStart w:id="23" w:name="statements"/>
    <w:p>
      <w:pPr>
        <w:pStyle w:val="Heading2"/>
      </w:pPr>
      <w:r>
        <w:t xml:space="preserve">Statements</w:t>
      </w:r>
    </w:p>
    <w:p>
      <w:pPr>
        <w:numPr>
          <w:ilvl w:val="0"/>
          <w:numId w:val="1001"/>
        </w:numPr>
        <w:pStyle w:val="Compact"/>
      </w:pPr>
      <w:r>
        <w:t xml:space="preserve">This is single-authored work. There are no co-authors.</w:t>
      </w:r>
    </w:p>
    <w:p>
      <w:pPr>
        <w:numPr>
          <w:ilvl w:val="0"/>
          <w:numId w:val="1001"/>
        </w:numPr>
        <w:pStyle w:val="Compact"/>
      </w:pPr>
      <w:r>
        <w:t xml:space="preserve">The manuscript has not been published in any peer-reviewed venue and is not under consideration elsewhere.</w:t>
      </w:r>
    </w:p>
    <w:p>
      <w:pPr>
        <w:numPr>
          <w:ilvl w:val="0"/>
          <w:numId w:val="1001"/>
        </w:numPr>
        <w:pStyle w:val="Compact"/>
      </w:pPr>
      <w:r>
        <w:t xml:space="preserve">The author declares one disclosed conflict of interest: A-25 Tokiwa (2025),</w:t>
      </w:r>
      <w:r>
        <w:t xml:space="preserve"> </w:t>
      </w:r>
      <w:r>
        <w:rPr>
          <w:iCs/>
          <w:i/>
        </w:rPr>
        <w:t xml:space="preserve">Who excels in online learning in Japan?</w:t>
      </w:r>
      <w:r>
        <w:t xml:space="preserve"> </w:t>
      </w:r>
      <w:r>
        <w:t xml:space="preserve">(</w:t>
      </w:r>
      <w:r>
        <w:rPr>
          <w:iCs/>
          <w:i/>
        </w:rPr>
        <w:t xml:space="preserve">Frontiers in Psychology, 16</w:t>
      </w:r>
      <w:r>
        <w:t xml:space="preserve">, 1420996, CC BY; https://doi.org/10.3389/fpsyg.2025.1420996), is the author’s own previously published primary study and is included in the corpus with a flag and a no-op sensitivity-drop scenario, since A-25 contributes no extractable r values to the pooled estimates. The Frontiers article is open-access and independently verifiable by reviewers.</w:t>
      </w:r>
    </w:p>
    <w:p>
      <w:pPr>
        <w:numPr>
          <w:ilvl w:val="0"/>
          <w:numId w:val="1001"/>
        </w:numPr>
        <w:pStyle w:val="Compact"/>
      </w:pPr>
      <w:r>
        <w:t xml:space="preserve">The author reports no competing financial interests and received no external funding for this work.</w:t>
      </w:r>
    </w:p>
    <w:p>
      <w:pPr>
        <w:pStyle w:val="FirstParagraph"/>
      </w:pPr>
      <w:r>
        <w:t xml:space="preserve">I appreciate the committee’s consideration and welcome any questions on the methodology, the modality re-coding decisions (documented in</w:t>
      </w:r>
      <w:r>
        <w:t xml:space="preserve"> </w:t>
      </w:r>
      <w:r>
        <w:rPr>
          <w:rStyle w:val="VerbatimChar"/>
        </w:rPr>
        <w:t xml:space="preserve">metaanalysis/conference_submissions/inputs/derive_studies_csv.py</w:t>
      </w:r>
      <w:r>
        <w:t xml:space="preserve">), or the disclosure scope.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Cs/>
          <w:b/>
        </w:rPr>
        <w:t xml:space="preserve">Eisuke Tokiwa</w:t>
      </w:r>
      <w:r>
        <w:t xml:space="preserve"> </w:t>
      </w:r>
      <w:r>
        <w:t xml:space="preserve">SUNBLAZE Co., Ltd.</w:t>
      </w:r>
      <w:r>
        <w:t xml:space="preserve"> </w:t>
      </w:r>
      <w:r>
        <w:t xml:space="preserve">Tokyo, Japan</w:t>
      </w:r>
      <w:r>
        <w:t xml:space="preserve"> </w:t>
      </w:r>
      <w:r>
        <w:t xml:space="preserve">ORCID 0009-0009-7124-6669</w:t>
      </w:r>
      <w:r>
        <w:t xml:space="preserve"> </w:t>
      </w:r>
      <w:r>
        <w:t xml:space="preserve">sub.ashuman@gmail.com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2026-05-10T04:39:33Z</dcterms:created>
  <dcterms:modified xsi:type="dcterms:W3CDTF">2026-05-10T04:39:33Z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