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b8edbb422dfb13f8231ae14b721718d6ecc286d"/>
    <w:p>
      <w:pPr>
        <w:pStyle w:val="Heading1"/>
      </w:pPr>
      <w:r>
        <w:t xml:space="preserve">Modality matters for Extraversion: A modality-stratified meta-regression of the Big Five personality traits and academic achievement in online learning environments</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25th European Conference on e-Learning (ECEL 2026), Lund, Sweden, 22-23 October 2026</w:t>
      </w:r>
      <w:r>
        <w:t xml:space="preserve"> </w:t>
      </w:r>
      <w:r>
        <w:rPr>
          <w:bCs/>
          <w:b/>
        </w:rPr>
        <w:t xml:space="preserve">Target length</w:t>
      </w:r>
      <w:r>
        <w:t xml:space="preserve">: 10 pages, ACI Word template</w:t>
      </w:r>
      <w:r>
        <w:t xml:space="preserve"> </w:t>
      </w:r>
      <w:r>
        <w:rPr>
          <w:bCs/>
          <w:b/>
        </w:rPr>
        <w:t xml:space="preserve">Manuscript draft</w:t>
      </w:r>
      <w:r>
        <w:t xml:space="preserve">: 2026-05-09 (numbers traceable to</w:t>
      </w:r>
      <w:r>
        <w:t xml:space="preserve"> </w:t>
      </w:r>
      <w:r>
        <w:rPr>
          <w:rStyle w:val="VerbatimChar"/>
        </w:rPr>
        <w:t xml:space="preserve">metaanalysis/conference_submissions/ecel/results/</w:t>
      </w:r>
      <w:r>
        <w:t xml:space="preserve">)</w:t>
      </w:r>
    </w:p>
    <w:p>
      <w:r>
        <w:pict>
          <v:rect style="width:0;height:1.5pt" o:hralign="center" o:hrstd="t" o:hr="t"/>
        </w:pict>
      </w:r>
    </w:p>
    <w:bookmarkStart w:id="20" w:name="abstract-300-words"/>
    <w:p>
      <w:pPr>
        <w:pStyle w:val="Heading2"/>
      </w:pPr>
      <w:r>
        <w:t xml:space="preserve">Abstract (~300 words)</w:t>
      </w:r>
    </w:p>
    <w:p>
      <w:pPr>
        <w:pStyle w:val="FirstParagraph"/>
      </w:pPr>
      <w:r>
        <w:t xml:space="preserve">A recent systematic review and meta-analysis by the present author (Research Square preprint, DOI 10.21203/rs.3.rs-9513298/v1) pooled k = 9-10 primary studies per Big Five trait across online-learning settings and reported that only Conscientiousness retained a robust positive association with academic achievement (pooled r = 0.167, 95 % CI [0.089, 0.243]). Modality was pre-registered as a moderator but was not quantitatively executed in the preprint because no single modality cell met the k &gt;= 10 per-level rule. The present paper completes that registered-but-unrun moderator analysis. Modality codes were derived from each study’s reported delivery format and re-checked against the original PDFs for the four primary-pool studies whose preprint extraction was blank (A-15 Elvers; A-23 Rodrigues; A-26 Wang; A-30 Kaspar). Random-effects models used REML with HKSJ-adjusted CIs. A long-format weighted-OLS interaction model contrasted asynchronous (A) and mixed-online (M) instruction; the single synchronous study is reported narratively. Modality moderates the trait-achievement correlation in a trait-specific way. Q_between is highly significant for Extraversion (Q = 17.60, df = 1, p &lt; .001), trend-level for Agreeableness (Q = 3.28, p = .070), and not significant for Conscientiousness (p = .90), Neuroticism (p = .52), or Openness (p = .16). Asynchronous Extraversion shows a negative pooled r = -0.121 [-0.246, 0.007] reversing in mixed-online to r = +0.059 [-0.027, 0.145]; the Extraversion x Mixed interaction term is +0.385 Fisher z, p = .009. The joint Wald test on all four interaction terms is chi-squared(4) = 13.64, p = .0085. Modality does not change the bottom line for Conscientiousness — its modality-stratified pooled r is 0.180-0.190 across both A and M cells — but materially changes the picture for Extraversion, a trait the trait-only pool reported as null (r = .002). For online course designers the practical message is asymmetric: support self-regulation regardless of synchrony, but expect Extraversion to be a silent disadvantage in async-only programmes.</w:t>
      </w:r>
    </w:p>
    <w:p>
      <w:pPr>
        <w:pStyle w:val="BodyText"/>
      </w:pPr>
      <w:r>
        <w:rPr>
          <w:bCs/>
          <w:b/>
        </w:rPr>
        <w:t xml:space="preserve">Keywords</w:t>
      </w:r>
      <w:r>
        <w:t xml:space="preserve">: meta-analysis; Big Five; online learning; learning modality; synchronous; asynchronous; Extraversion; academic achievement.</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pPr>
        <w:pStyle w:val="BodyText"/>
      </w:pPr>
      <w:r>
        <w:t xml:space="preserve">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pPr>
        <w:pStyle w:val="BodyText"/>
      </w:pPr>
      <w:r>
        <w:t xml:space="preserve">The preprint is, however,</w:t>
      </w:r>
      <w:r>
        <w:t xml:space="preserve"> </w:t>
      </w:r>
      <w:r>
        <w:rPr>
          <w:iCs/>
          <w:i/>
        </w:rPr>
        <w:t xml:space="preserve">silent</w:t>
      </w:r>
      <w:r>
        <w:t xml:space="preserve"> </w:t>
      </w:r>
      <w:r>
        <w:t xml:space="preserve">on a moderator that is theoretically central to its scope:</w:t>
      </w:r>
      <w:r>
        <w:t xml:space="preserve"> </w:t>
      </w:r>
      <w:r>
        <w:rPr>
          <w:bCs/>
          <w:b/>
        </w:rPr>
        <w:t xml:space="preserve">learning modality</w:t>
      </w:r>
      <w:r>
        <w:t xml:space="preserve">.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pPr>
        <w:pStyle w:val="BodyText"/>
      </w:pPr>
      <w:r>
        <w:t xml:space="preserve">Three theoretical predictions follow if modality matters. First,</w:t>
      </w:r>
      <w:r>
        <w:t xml:space="preserve"> </w:t>
      </w:r>
      <w:r>
        <w:rPr>
          <w:bCs/>
          <w:b/>
        </w:rPr>
        <w:t xml:space="preserve">synchronous instruction</w:t>
      </w:r>
      <w:r>
        <w:t xml:space="preserve"> </w:t>
      </w:r>
      <w:r>
        <w:t xml:space="preserve">reintroduces social cues and instructor-led pacing; if Extraversion’s null result in the trait-only pool is driven by social-cue deprivation, synchronous samples should re-acquire a positive Extraversion-achievement link. Second,</w:t>
      </w:r>
      <w:r>
        <w:t xml:space="preserve"> </w:t>
      </w:r>
      <w:r>
        <w:rPr>
          <w:bCs/>
          <w:b/>
        </w:rPr>
        <w:t xml:space="preserve">asynchronous instruction</w:t>
      </w:r>
      <w:r>
        <w:t xml:space="preserve"> </w:t>
      </w:r>
      <w:r>
        <w:t xml:space="preserve">shifts the load to learner self-regulation (Pintrich, 2004; Zimmerman, 2000); Conscientiousness — already the dominant predictor in the pool — should remain so or strengthen further. Third,</w:t>
      </w:r>
      <w:r>
        <w:t xml:space="preserve"> </w:t>
      </w:r>
      <w:r>
        <w:rPr>
          <w:bCs/>
          <w:b/>
        </w:rPr>
        <w:t xml:space="preserve">mixed-online and blended modalities</w:t>
      </w:r>
      <w:r>
        <w:t xml:space="preserve"> </w:t>
      </w:r>
      <w:r>
        <w:t xml:space="preserve">sit between these poles and are likely to produce intermediate, more heterogeneous outcomes empirically.</w:t>
      </w:r>
    </w:p>
    <w:p>
      <w:pPr>
        <w:pStyle w:val="BodyText"/>
      </w:pPr>
      <w:r>
        <w:t xml:space="preserve">This paper completes the modality moderator analysis that the parent preprint pre-registered but did not quantitatively execute, and adds a long-format modality x trait interaction model. Its contribution is therefore both</w:t>
      </w:r>
      <w:r>
        <w:t xml:space="preserve"> </w:t>
      </w:r>
      <w:r>
        <w:rPr>
          <w:bCs/>
          <w:b/>
        </w:rPr>
        <w:t xml:space="preserve">methodological</w:t>
      </w:r>
      <w:r>
        <w:t xml:space="preserve"> </w:t>
      </w:r>
      <w:r>
        <w:t xml:space="preserve">(closing a registered analytic gap) and</w:t>
      </w:r>
      <w:r>
        <w:t xml:space="preserve"> </w:t>
      </w:r>
      <w:r>
        <w:rPr>
          <w:bCs/>
          <w:b/>
        </w:rPr>
        <w:t xml:space="preserve">substantive</w:t>
      </w:r>
      <w:r>
        <w:t xml:space="preserve"> </w:t>
      </w:r>
      <w:r>
        <w:t xml:space="preserve">(reporting a trait-specific modality effect that the trait-only pool obscures). It does not duplicate the preprint: every modality-stratified estimate, every interaction coefficient, and the joint Wald test reported below are absent from the preprint Results section (audit log:</w:t>
      </w:r>
      <w:r>
        <w:t xml:space="preserve"> </w:t>
      </w:r>
      <w:r>
        <w:rPr>
          <w:rStyle w:val="VerbatimChar"/>
        </w:rPr>
        <w:t xml:space="preserve">preprint_audit.md</w:t>
      </w:r>
      <w:r>
        <w:t xml:space="preserve">).</w:t>
      </w:r>
    </w:p>
    <w:p>
      <w:r>
        <w:pict>
          <v:rect style="width:0;height:1.5pt" o:hralign="center" o:hrstd="t" o:hr="t"/>
        </w:pict>
      </w:r>
    </w:p>
    <w:bookmarkEnd w:id="21"/>
    <w:bookmarkStart w:id="30" w:name="method"/>
    <w:p>
      <w:pPr>
        <w:pStyle w:val="Heading2"/>
      </w:pPr>
      <w:r>
        <w:t xml:space="preserve">2. Method</w:t>
      </w:r>
    </w:p>
    <w:bookmarkStart w:id="22" w:name="inheritance-from-the-parent-preprint"/>
    <w:p>
      <w:pPr>
        <w:pStyle w:val="Heading3"/>
      </w:pPr>
      <w:r>
        <w:t xml:space="preserve">2.1. Inheritance from the parent preprint</w:t>
      </w:r>
    </w:p>
    <w:p>
      <w:pPr>
        <w:pStyle w:val="FirstParagraph"/>
      </w:pPr>
      <w:r>
        <w:t xml:space="preserve">The corpus, eligibility criteria, screening flow, and risk-of-bias scoring are inherited unchanged from the parent preprint. PRISMA 2020 standards were followed (Page et al., 2021).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w:t>
      </w:r>
      <w:r>
        <w:t xml:space="preserve"> </w:t>
      </w:r>
      <w:r>
        <w:rPr>
          <w:rStyle w:val="VerbatimChar"/>
        </w:rPr>
        <w:t xml:space="preserve">metaanalysis/analysis/data_extraction_populated.csv</w:t>
      </w:r>
      <w:r>
        <w:t xml:space="preserve">; the canonical replication of the parent pool is in</w:t>
      </w:r>
      <w:r>
        <w:t xml:space="preserve"> </w:t>
      </w:r>
      <w:r>
        <w:rPr>
          <w:rStyle w:val="VerbatimChar"/>
        </w:rPr>
        <w:t xml:space="preserve">metaanalysis/analysis/CANONICAL_RESULTS.md</w:t>
      </w:r>
      <w:r>
        <w:t xml:space="preserve">.</w:t>
      </w:r>
    </w:p>
    <w:bookmarkEnd w:id="22"/>
    <w:bookmarkStart w:id="23" w:name="modality-coding"/>
    <w:p>
      <w:pPr>
        <w:pStyle w:val="Heading3"/>
      </w:pPr>
      <w:r>
        <w:t xml:space="preserve">2.2. Modality coding</w:t>
      </w:r>
    </w:p>
    <w:p>
      <w:pPr>
        <w:pStyle w:val="FirstParagraph"/>
      </w:pPr>
      <w:r>
        <w:t xml:space="preserve">Modality categories were operationalised as five mutually exclusive levels:</w:t>
      </w:r>
    </w:p>
    <w:p>
      <w:pPr>
        <w:numPr>
          <w:ilvl w:val="0"/>
          <w:numId w:val="1001"/>
        </w:numPr>
        <w:pStyle w:val="Compact"/>
      </w:pPr>
      <w:r>
        <w:rPr>
          <w:bCs/>
          <w:b/>
        </w:rPr>
        <w:t xml:space="preserve">A</w:t>
      </w:r>
      <w:r>
        <w:t xml:space="preserve"> </w:t>
      </w:r>
      <w:r>
        <w:t xml:space="preserve">(asynchronous): self-paced LMS or MOOC; no scheduled live sessions.</w:t>
      </w:r>
    </w:p>
    <w:p>
      <w:pPr>
        <w:numPr>
          <w:ilvl w:val="0"/>
          <w:numId w:val="1001"/>
        </w:numPr>
        <w:pStyle w:val="Compact"/>
      </w:pPr>
      <w:r>
        <w:rPr>
          <w:bCs/>
          <w:b/>
        </w:rPr>
        <w:t xml:space="preserve">M</w:t>
      </w:r>
      <w:r>
        <w:t xml:space="preserve"> </w:t>
      </w:r>
      <w:r>
        <w:t xml:space="preserve">(mixed-online): both synchronous and asynchronous components within a single online course.</w:t>
      </w:r>
    </w:p>
    <w:p>
      <w:pPr>
        <w:numPr>
          <w:ilvl w:val="0"/>
          <w:numId w:val="1001"/>
        </w:numPr>
        <w:pStyle w:val="Compact"/>
      </w:pPr>
      <w:r>
        <w:rPr>
          <w:bCs/>
          <w:b/>
        </w:rPr>
        <w:t xml:space="preserve">S</w:t>
      </w:r>
      <w:r>
        <w:t xml:space="preserve"> </w:t>
      </w:r>
      <w:r>
        <w:t xml:space="preserve">(synchronous): live videoconferencing-driven instruction.</w:t>
      </w:r>
    </w:p>
    <w:p>
      <w:pPr>
        <w:numPr>
          <w:ilvl w:val="0"/>
          <w:numId w:val="1001"/>
        </w:numPr>
        <w:pStyle w:val="Compact"/>
      </w:pPr>
      <w:r>
        <w:rPr>
          <w:bCs/>
          <w:b/>
        </w:rPr>
        <w:t xml:space="preserve">B</w:t>
      </w:r>
      <w:r>
        <w:t xml:space="preserve"> </w:t>
      </w:r>
      <w:r>
        <w:t xml:space="preserve">(blended): mix of online and face-to-face.</w:t>
      </w:r>
    </w:p>
    <w:p>
      <w:pPr>
        <w:numPr>
          <w:ilvl w:val="0"/>
          <w:numId w:val="1001"/>
        </w:numPr>
        <w:pStyle w:val="Compact"/>
      </w:pPr>
      <w:r>
        <w:rPr>
          <w:bCs/>
          <w:b/>
        </w:rPr>
        <w:t xml:space="preserve">U</w:t>
      </w:r>
      <w:r>
        <w:t xml:space="preserve"> </w:t>
      </w:r>
      <w:r>
        <w:t xml:space="preserve">(unspecified): the source paper does not state the format.</w:t>
      </w:r>
    </w:p>
    <w:p>
      <w:pPr>
        <w:pStyle w:val="FirstParagraph"/>
      </w:pPr>
      <w:r>
        <w:t xml:space="preserve">The master extraction (</w:t>
      </w:r>
      <w:r>
        <w:rPr>
          <w:rStyle w:val="VerbatimChar"/>
        </w:rPr>
        <w:t xml:space="preserve">data_extraction_populated.csv</w:t>
      </w:r>
      <w:r>
        <w:t xml:space="preserve"> </w:t>
      </w:r>
      <w:r>
        <w:t xml:space="preserve">column</w:t>
      </w:r>
      <w:r>
        <w:t xml:space="preserve"> </w:t>
      </w:r>
      <w:r>
        <w:rPr>
          <w:rStyle w:val="VerbatimChar"/>
        </w:rPr>
        <w:t xml:space="preserve">modality_subtype</w:t>
      </w:r>
      <w:r>
        <w:t xml:space="preserve">) coded modality where the source PDF stated it explicitly. This left four primary-pool studies with a blank</w:t>
      </w:r>
      <w:r>
        <w:t xml:space="preserve"> </w:t>
      </w:r>
      <w:r>
        <w:rPr>
          <w:rStyle w:val="VerbatimChar"/>
        </w:rPr>
        <w:t xml:space="preserve">modality_subtype</w:t>
      </w:r>
      <w:r>
        <w:t xml:space="preserve"> </w:t>
      </w:r>
      <w:r>
        <w:t xml:space="preserve">field (A-15 Elvers; A-23 Rodrigues; A-26 Wang; A-30 Kaspar). For the present paper their modality was re-checked against the original PDFs (2026-05-09):</w:t>
      </w:r>
    </w:p>
    <w:p>
      <w:pPr>
        <w:numPr>
          <w:ilvl w:val="0"/>
          <w:numId w:val="1002"/>
        </w:numPr>
        <w:pStyle w:val="Compact"/>
      </w:pPr>
      <w:r>
        <w:rPr>
          <w:bCs/>
          <w:b/>
        </w:rPr>
        <w:t xml:space="preserve">A-15 Elvers (2003)</w:t>
      </w:r>
      <w:r>
        <w:t xml:space="preserve">: Web-based class with logged self-paced LMS access;</w:t>
      </w:r>
      <w:r>
        <w:t xml:space="preserve"> </w:t>
      </w:r>
      <w:r>
        <w:t xml:space="preserve">“</w:t>
      </w:r>
      <w:r>
        <w:t xml:space="preserve">students in the online class came to class only to take tests</w:t>
      </w:r>
      <w:r>
        <w:t xml:space="preserve">”</w:t>
      </w:r>
      <w:r>
        <w:t xml:space="preserve"> </w:t>
      </w:r>
      <w:r>
        <w:t xml:space="preserve">(p. 160). Coded</w:t>
      </w:r>
      <w:r>
        <w:t xml:space="preserve"> </w:t>
      </w:r>
      <w:r>
        <w:rPr>
          <w:bCs/>
          <w:b/>
        </w:rPr>
        <w:t xml:space="preserve">A</w:t>
      </w:r>
      <w:r>
        <w:t xml:space="preserve">.</w:t>
      </w:r>
    </w:p>
    <w:p>
      <w:pPr>
        <w:numPr>
          <w:ilvl w:val="0"/>
          <w:numId w:val="1002"/>
        </w:numPr>
        <w:pStyle w:val="Compact"/>
      </w:pPr>
      <w:r>
        <w:rPr>
          <w:bCs/>
          <w:b/>
        </w:rPr>
        <w:t xml:space="preserve">A-23 Rodrigues (2024)</w:t>
      </w:r>
      <w:r>
        <w:t xml:space="preserve">: German university COVID home study; the discussion notes that</w:t>
      </w:r>
      <w:r>
        <w:t xml:space="preserve"> </w:t>
      </w:r>
      <w:r>
        <w:t xml:space="preserve">“</w:t>
      </w:r>
      <w:r>
        <w:t xml:space="preserve">home study was also partly asynchronous</w:t>
      </w:r>
      <w:r>
        <w:t xml:space="preserve">”</w:t>
      </w:r>
      <w:r>
        <w:t xml:space="preserve"> </w:t>
      </w:r>
      <w:r>
        <w:t xml:space="preserve">(p. 380); contemporaneous COVID-era German university online learning routinely combined synchronous Zoom lectures with asynchronous materials. Coded</w:t>
      </w:r>
      <w:r>
        <w:t xml:space="preserve"> </w:t>
      </w:r>
      <w:r>
        <w:rPr>
          <w:bCs/>
          <w:b/>
        </w:rPr>
        <w:t xml:space="preserve">M</w:t>
      </w:r>
      <w:r>
        <w:t xml:space="preserve">.</w:t>
      </w:r>
    </w:p>
    <w:p>
      <w:pPr>
        <w:numPr>
          <w:ilvl w:val="0"/>
          <w:numId w:val="1002"/>
        </w:numPr>
        <w:pStyle w:val="Compact"/>
      </w:pPr>
      <w:r>
        <w:rPr>
          <w:bCs/>
          <w:b/>
        </w:rPr>
        <w:t xml:space="preserve">A-26 Wang (2023)</w:t>
      </w:r>
      <w:r>
        <w:t xml:space="preserve">: Chinese K-12 post-COVID; the online-learning measurement scale assesses</w:t>
      </w:r>
      <w:r>
        <w:t xml:space="preserve"> </w:t>
      </w:r>
      <w:r>
        <w:t xml:space="preserve">“</w:t>
      </w:r>
      <w:r>
        <w:t xml:space="preserve">network platform usage, school management and services,</w:t>
      </w:r>
      <w:r>
        <w:t xml:space="preserve"> </w:t>
      </w:r>
      <w:r>
        <w:rPr>
          <w:bCs/>
          <w:b/>
        </w:rPr>
        <w:t xml:space="preserve">teacher teaching</w:t>
      </w:r>
      <w:r>
        <w:t xml:space="preserve">, and learning task arrangement</w:t>
      </w:r>
      <w:r>
        <w:t xml:space="preserve">”</w:t>
      </w:r>
      <w:r>
        <w:t xml:space="preserve">, with the</w:t>
      </w:r>
      <w:r>
        <w:t xml:space="preserve"> </w:t>
      </w:r>
      <w:r>
        <w:t xml:space="preserve">“</w:t>
      </w:r>
      <w:r>
        <w:t xml:space="preserve">teacher teaching</w:t>
      </w:r>
      <w:r>
        <w:t xml:space="preserve">”</w:t>
      </w:r>
      <w:r>
        <w:t xml:space="preserve"> </w:t>
      </w:r>
      <w:r>
        <w:t xml:space="preserve">sub-scale and the post-COVID school-day context implying both synchronous live classes and asynchronous tasks. Coded</w:t>
      </w:r>
      <w:r>
        <w:t xml:space="preserve"> </w:t>
      </w:r>
      <w:r>
        <w:rPr>
          <w:bCs/>
          <w:b/>
        </w:rPr>
        <w:t xml:space="preserve">M</w:t>
      </w:r>
      <w:r>
        <w:t xml:space="preserve">.</w:t>
      </w:r>
    </w:p>
    <w:p>
      <w:pPr>
        <w:numPr>
          <w:ilvl w:val="0"/>
          <w:numId w:val="1002"/>
        </w:numPr>
        <w:pStyle w:val="Compact"/>
      </w:pPr>
      <w:r>
        <w:rPr>
          <w:bCs/>
          <w:b/>
        </w:rPr>
        <w:t xml:space="preserve">A-30 Kaspar (2023)</w:t>
      </w:r>
      <w:r>
        <w:t xml:space="preserve">: German university COVID-2021; the introduction cites both</w:t>
      </w:r>
      <w:r>
        <w:t xml:space="preserve"> </w:t>
      </w:r>
      <w:r>
        <w:t xml:space="preserve">“</w:t>
      </w:r>
      <w:r>
        <w:t xml:space="preserve">synchronous online learning at the start of the Covid-19 pandemic (Besser et al.)</w:t>
      </w:r>
      <w:r>
        <w:t xml:space="preserve">”</w:t>
      </w:r>
      <w:r>
        <w:t xml:space="preserve"> </w:t>
      </w:r>
      <w:r>
        <w:t xml:space="preserve">and Zoom-based course adjustment literature, indicating a mixed-online environment. Coded</w:t>
      </w:r>
      <w:r>
        <w:t xml:space="preserve"> </w:t>
      </w:r>
      <w:r>
        <w:rPr>
          <w:bCs/>
          <w:b/>
        </w:rPr>
        <w:t xml:space="preserve">M</w:t>
      </w:r>
      <w:r>
        <w:t xml:space="preserve">.</w:t>
      </w:r>
    </w:p>
    <w:p>
      <w:pPr>
        <w:pStyle w:val="FirstParagraph"/>
      </w:pPr>
      <w:r>
        <w:t xml:space="preserve">These overrides are hard-coded in</w:t>
      </w:r>
      <w:r>
        <w:t xml:space="preserve"> </w:t>
      </w:r>
      <w:r>
        <w:rPr>
          <w:rStyle w:val="VerbatimChar"/>
        </w:rPr>
        <w:t xml:space="preserve">metaanalysis/conference_submissions/inputs/derive_studies_csv.py::MODALITY_OVERRIDES</w:t>
      </w:r>
      <w:r>
        <w:t xml:space="preserve"> </w:t>
      </w:r>
      <w:r>
        <w:t xml:space="preserve">with the same citations as comments. After override, the U bucket collapses to zero in the primary pool, so all primary-pool observations contribute to the modality-stratified analysis.</w:t>
      </w:r>
    </w:p>
    <w:bookmarkEnd w:id="23"/>
    <w:bookmarkStart w:id="28" w:name="statistical-model"/>
    <w:p>
      <w:pPr>
        <w:pStyle w:val="Heading3"/>
      </w:pPr>
      <w:r>
        <w:t xml:space="preserve">2.3. Statistical model</w:t>
      </w:r>
    </w:p>
    <w:bookmarkStart w:id="24" w:name="Xcf89b0be69ed32b5034a1fb7becb373c63a6e46"/>
    <w:p>
      <w:pPr>
        <w:pStyle w:val="Heading4"/>
      </w:pPr>
      <w:r>
        <w:t xml:space="preserve">2.3.1. Per-modality x per-trait pooled estimates</w:t>
      </w:r>
    </w:p>
    <w:p>
      <w:pPr>
        <w:pStyle w:val="FirstParagraph"/>
      </w:pPr>
      <w:r>
        <w:t xml:space="preserve">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bookmarkEnd w:id="24"/>
    <w:bookmarkStart w:id="25" w:name="X31d93221798392484c9ddb26846f009a2362e9e"/>
    <w:p>
      <w:pPr>
        <w:pStyle w:val="Heading4"/>
      </w:pPr>
      <w:r>
        <w:t xml:space="preserve">2.3.2. Q_between contrast across modality levels</w:t>
      </w:r>
    </w:p>
    <w:p>
      <w:pPr>
        <w:pStyle w:val="FirstParagraph"/>
      </w:pPr>
      <w:r>
        <w:t xml:space="preserve">For each trait, between-modality heterogeneity was tested via Q_between with the random-effects sub-pool point estimates and HKSJ standard errors. Two cells (A and M) contribute to each trait’s Q_between, yielding df = 1.</w:t>
      </w:r>
    </w:p>
    <w:bookmarkEnd w:id="25"/>
    <w:bookmarkStart w:id="26" w:name="modality-x-trait-interaction-model"/>
    <w:p>
      <w:pPr>
        <w:pStyle w:val="Heading4"/>
      </w:pPr>
      <w:r>
        <w:t xml:space="preserve">2.3.3. Modality x trait interaction model</w:t>
      </w:r>
    </w:p>
    <w:p>
      <w:pPr>
        <w:pStyle w:val="FirstParagraph"/>
      </w:pPr>
      <w:r>
        <w:t xml:space="preserve">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bookmarkEnd w:id="26"/>
    <w:bookmarkStart w:id="27" w:name="sensitivity-layer"/>
    <w:p>
      <w:pPr>
        <w:pStyle w:val="Heading4"/>
      </w:pPr>
      <w:r>
        <w:t xml:space="preserve">2.3.4. Sensitivity layer</w:t>
      </w:r>
    </w:p>
    <w:p>
      <w:pPr>
        <w:pStyle w:val="FirstParagraph"/>
      </w:pPr>
      <w:r>
        <w:t xml:space="preserve">Three sensitivity scenarios re-run the modality pools: (i) drop beta-converted studies (A-28 Yu, A-30 Kaspar; tests sensitivity to the Peterson-Brown beta-to-r conversion); (ii) drop the COI study (A-25 Tokiwa; documented but no-op because A-25 contributes no extractable r); (iii) drop the unspecified-modality bucket (no-op after override). Full results are in</w:t>
      </w:r>
      <w:r>
        <w:t xml:space="preserve"> </w:t>
      </w:r>
      <w:r>
        <w:rPr>
          <w:rStyle w:val="VerbatimChar"/>
        </w:rPr>
        <w:t xml:space="preserve">results/sensitivity_analysis_summary.md</w:t>
      </w:r>
      <w:r>
        <w:t xml:space="preserve">.</w:t>
      </w:r>
    </w:p>
    <w:bookmarkEnd w:id="27"/>
    <w:bookmarkEnd w:id="28"/>
    <w:bookmarkStart w:id="29" w:name="reproducibility"/>
    <w:p>
      <w:pPr>
        <w:pStyle w:val="Heading3"/>
      </w:pPr>
      <w:r>
        <w:t xml:space="preserve">2.4. Reproducibility</w:t>
      </w:r>
    </w:p>
    <w:p>
      <w:pPr>
        <w:pStyle w:val="FirstParagraph"/>
      </w:pPr>
      <w:r>
        <w:t xml:space="preserve">All numerical results in this paper are produced by</w:t>
      </w:r>
      <w:r>
        <w:t xml:space="preserve"> </w:t>
      </w:r>
      <w:r>
        <w:rPr>
          <w:rStyle w:val="VerbatimChar"/>
        </w:rPr>
        <w:t xml:space="preserve">metaanalysis/conference_submissions/ecel/scripts/run_modality_meta.py</w:t>
      </w:r>
      <w:r>
        <w:t xml:space="preserve">, which imports the random-effects primitives (</w:t>
      </w:r>
      <w:r>
        <w:rPr>
          <w:rStyle w:val="VerbatimChar"/>
        </w:rPr>
        <w:t xml:space="preserve">fisher_z</w:t>
      </w:r>
      <w:r>
        <w:t xml:space="preserve">,</w:t>
      </w:r>
      <w:r>
        <w:t xml:space="preserve"> </w:t>
      </w:r>
      <w:r>
        <w:rPr>
          <w:rStyle w:val="VerbatimChar"/>
        </w:rPr>
        <w:t xml:space="preserve">var_z</w:t>
      </w:r>
      <w:r>
        <w:t xml:space="preserve">,</w:t>
      </w:r>
      <w:r>
        <w:t xml:space="preserve"> </w:t>
      </w:r>
      <w:r>
        <w:rPr>
          <w:rStyle w:val="VerbatimChar"/>
        </w:rPr>
        <w:t xml:space="preserve">pool_random_effects</w:t>
      </w:r>
      <w:r>
        <w:t xml:space="preserve">,</w:t>
      </w:r>
      <w:r>
        <w:t xml:space="preserve"> </w:t>
      </w:r>
      <w:r>
        <w:rPr>
          <w:rStyle w:val="VerbatimChar"/>
        </w:rPr>
        <w:t xml:space="preserve">reml_tau2</w:t>
      </w:r>
      <w:r>
        <w:t xml:space="preserve">) from</w:t>
      </w:r>
      <w:r>
        <w:t xml:space="preserve"> </w:t>
      </w:r>
      <w:r>
        <w:rPr>
          <w:rStyle w:val="VerbatimChar"/>
        </w:rPr>
        <w:t xml:space="preserve">metaanalysis/analysis/pool.py</w:t>
      </w:r>
      <w:r>
        <w:t xml:space="preserve">. The studies-level dataset is regenerated by</w:t>
      </w:r>
      <w:r>
        <w:t xml:space="preserve"> </w:t>
      </w:r>
      <w:r>
        <w:rPr>
          <w:rStyle w:val="VerbatimChar"/>
        </w:rPr>
        <w:t xml:space="preserve">metaanalysis/conference_submissions/inputs/derive_studies_csv.py</w:t>
      </w:r>
      <w:r>
        <w:t xml:space="preserve">. Pseudorandom-number-generator-dependent operations are not used; all results are deterministic given the input CSV.</w:t>
      </w:r>
    </w:p>
    <w:p>
      <w:r>
        <w:pict>
          <v:rect style="width:0;height:1.5pt" o:hralign="center" o:hrstd="t" o:hr="t"/>
        </w:pict>
      </w:r>
    </w:p>
    <w:bookmarkEnd w:id="29"/>
    <w:bookmarkEnd w:id="30"/>
    <w:bookmarkStart w:id="36" w:name="results"/>
    <w:p>
      <w:pPr>
        <w:pStyle w:val="Heading2"/>
      </w:pPr>
      <w:r>
        <w:t xml:space="preserve">3. Results</w:t>
      </w:r>
    </w:p>
    <w:bookmarkStart w:id="31" w:name="replication-of-the-parent-preprint"/>
    <w:p>
      <w:pPr>
        <w:pStyle w:val="Heading3"/>
      </w:pPr>
      <w:r>
        <w:t xml:space="preserve">3.1. Replication of the parent preprint</w:t>
      </w:r>
    </w:p>
    <w:p>
      <w:pPr>
        <w:pStyle w:val="FirstParagraph"/>
      </w:pPr>
      <w:r>
        <w:t xml:space="preserve">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bookmarkEnd w:id="31"/>
    <w:bookmarkStart w:id="32" w:name="modality-stratified-pooled-correlations"/>
    <w:p>
      <w:pPr>
        <w:pStyle w:val="Heading3"/>
      </w:pPr>
      <w:r>
        <w:t xml:space="preserve">3.2. Modality-stratified pooled correlations</w:t>
      </w:r>
    </w:p>
    <w:p>
      <w:pPr>
        <w:pStyle w:val="FirstParagraph"/>
      </w:pPr>
      <w:r>
        <w:t xml:space="preserve">Table 1 reports the per-modality x per-trait pooled correlations.</w:t>
      </w:r>
    </w:p>
    <w:p>
      <w:pPr>
        <w:pStyle w:val="BodyText"/>
      </w:pPr>
      <w:r>
        <w:rPr>
          <w:bCs/>
          <w:b/>
        </w:rPr>
        <w:t xml:space="preserve">Table 1.</w:t>
      </w:r>
      <w:r>
        <w:t xml:space="preserve"> </w:t>
      </w:r>
      <w:r>
        <w:rPr>
          <w:iCs/>
          <w:i/>
        </w:rPr>
        <w:t xml:space="preserve">Modality-stratified random-effects pooled correlations (REML + HKSJ).</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w:t>
            </w:r>
          </w:p>
        </w:tc>
        <w:tc>
          <w:tcPr/>
          <w:p>
            <w:pPr>
              <w:pStyle w:val="Compact"/>
              <w:jc w:val="left"/>
            </w:pPr>
            <w:r>
              <w:t xml:space="preserve">Modality</w:t>
            </w:r>
          </w:p>
        </w:tc>
        <w:tc>
          <w:tcPr/>
          <w:p>
            <w:pPr>
              <w:pStyle w:val="Compact"/>
              <w:jc w:val="left"/>
            </w:pPr>
            <w:r>
              <w:t xml:space="preserve">k</w:t>
            </w:r>
          </w:p>
        </w:tc>
        <w:tc>
          <w:tcPr/>
          <w:p>
            <w:pPr>
              <w:pStyle w:val="Compact"/>
              <w:jc w:val="left"/>
            </w:pPr>
            <w:r>
              <w:t xml:space="preserve">N</w:t>
            </w:r>
          </w:p>
        </w:tc>
        <w:tc>
          <w:tcPr/>
          <w:p>
            <w:pPr>
              <w:pStyle w:val="Compact"/>
              <w:jc w:val="left"/>
            </w:pPr>
            <w:r>
              <w:t xml:space="preserve">r [95 % CI]</w:t>
            </w:r>
          </w:p>
        </w:tc>
        <w:tc>
          <w:tcPr/>
          <w:p>
            <w:pPr>
              <w:pStyle w:val="Compact"/>
              <w:jc w:val="left"/>
            </w:pPr>
            <w:r>
              <w:t xml:space="preserve">I-squared</w:t>
            </w:r>
          </w:p>
        </w:tc>
        <w:tc>
          <w:tcPr/>
          <w:p>
            <w:pPr>
              <w:pStyle w:val="Compact"/>
              <w:jc w:val="left"/>
            </w:pPr>
            <w:r>
              <w:t xml:space="preserve">tau-squared</w:t>
            </w:r>
          </w:p>
        </w:tc>
      </w:tr>
      <w:tr>
        <w:tc>
          <w:tcPr/>
          <w:p>
            <w:pPr>
              <w:pStyle w:val="Compact"/>
              <w:jc w:val="left"/>
            </w:pPr>
            <w:r>
              <w:t xml:space="preserve">O</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0.223 [-0.374, 0.689]</w:t>
            </w:r>
          </w:p>
        </w:tc>
        <w:tc>
          <w:tcPr/>
          <w:p>
            <w:pPr>
              <w:pStyle w:val="Compact"/>
              <w:jc w:val="left"/>
            </w:pPr>
            <w:r>
              <w:t xml:space="preserve">92.0 %</w:t>
            </w:r>
          </w:p>
        </w:tc>
        <w:tc>
          <w:tcPr/>
          <w:p>
            <w:pPr>
              <w:pStyle w:val="Compact"/>
              <w:jc w:val="left"/>
            </w:pPr>
            <w:r>
              <w:t xml:space="preserve">0.036</w:t>
            </w:r>
          </w:p>
        </w:tc>
      </w:tr>
      <w:tr>
        <w:tc>
          <w:tcPr/>
          <w:p>
            <w:pPr>
              <w:pStyle w:val="Compact"/>
              <w:jc w:val="left"/>
            </w:pPr>
            <w:r>
              <w:t xml:space="preserve">O</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0.019 [-0.081, 0.119]</w:t>
            </w:r>
          </w:p>
        </w:tc>
        <w:tc>
          <w:tcPr/>
          <w:p>
            <w:pPr>
              <w:pStyle w:val="Compact"/>
              <w:jc w:val="left"/>
            </w:pPr>
            <w:r>
              <w:t xml:space="preserve">47.8 %</w:t>
            </w:r>
          </w:p>
        </w:tc>
        <w:tc>
          <w:tcPr/>
          <w:p>
            <w:pPr>
              <w:pStyle w:val="Compact"/>
              <w:jc w:val="left"/>
            </w:pPr>
            <w:r>
              <w:t xml:space="preserve">0.002</w:t>
            </w:r>
          </w:p>
        </w:tc>
      </w:tr>
      <w:tr>
        <w:tc>
          <w:tcPr/>
          <w:p>
            <w:pPr>
              <w:pStyle w:val="Compact"/>
              <w:jc w:val="left"/>
            </w:pPr>
            <w:r>
              <w:t xml:space="preserve">O</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0.070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0.190 [-0.034, 0.395]</w:t>
            </w:r>
          </w:p>
        </w:tc>
        <w:tc>
          <w:tcPr/>
          <w:p>
            <w:pPr>
              <w:pStyle w:val="Compact"/>
              <w:jc w:val="left"/>
            </w:pPr>
            <w:r>
              <w:t xml:space="preserve">63.5 %</w:t>
            </w:r>
          </w:p>
        </w:tc>
        <w:tc>
          <w:tcPr/>
          <w:p>
            <w:pPr>
              <w:pStyle w:val="Compact"/>
              <w:jc w:val="left"/>
            </w:pPr>
            <w:r>
              <w:t xml:space="preserve">0.007</w:t>
            </w:r>
          </w:p>
        </w:tc>
      </w:tr>
      <w:tr>
        <w:tc>
          <w:tcPr/>
          <w:p>
            <w:pPr>
              <w:pStyle w:val="Compact"/>
              <w:jc w:val="left"/>
            </w:pPr>
            <w:r>
              <w:t xml:space="preserve">C</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0.180 [0.051, 0.302]</w:t>
            </w:r>
          </w:p>
        </w:tc>
        <w:tc>
          <w:tcPr/>
          <w:p>
            <w:pPr>
              <w:pStyle w:val="Compact"/>
              <w:jc w:val="left"/>
            </w:pPr>
            <w:r>
              <w:t xml:space="preserve">67.5 %</w:t>
            </w:r>
          </w:p>
        </w:tc>
        <w:tc>
          <w:tcPr/>
          <w:p>
            <w:pPr>
              <w:pStyle w:val="Compact"/>
              <w:jc w:val="left"/>
            </w:pPr>
            <w:r>
              <w:t xml:space="preserve">0.005</w:t>
            </w:r>
          </w:p>
        </w:tc>
      </w:tr>
      <w:tr>
        <w:tc>
          <w:tcPr/>
          <w:p>
            <w:pPr>
              <w:pStyle w:val="Compact"/>
              <w:jc w:val="left"/>
            </w:pPr>
            <w:r>
              <w:t xml:space="preserve">C</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0.068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-0.121 [-0.246, 0.007]</w:t>
            </w:r>
          </w:p>
        </w:tc>
        <w:tc>
          <w:tcPr/>
          <w:p>
            <w:pPr>
              <w:pStyle w:val="Compact"/>
              <w:jc w:val="left"/>
            </w:pPr>
            <w:r>
              <w:t xml:space="preserve">19.6 %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0.059 [-0.027, 0.145]</w:t>
            </w:r>
          </w:p>
        </w:tc>
        <w:tc>
          <w:tcPr/>
          <w:p>
            <w:pPr>
              <w:pStyle w:val="Compact"/>
              <w:jc w:val="left"/>
            </w:pPr>
            <w:r>
              <w:t xml:space="preserve">27.2 %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0.027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0.283 [-0.293, 0.708]</w:t>
            </w:r>
          </w:p>
        </w:tc>
        <w:tc>
          <w:tcPr/>
          <w:p>
            <w:pPr>
              <w:pStyle w:val="Compact"/>
              <w:jc w:val="left"/>
            </w:pPr>
            <w:r>
              <w:t xml:space="preserve">93.7 %</w:t>
            </w:r>
          </w:p>
        </w:tc>
        <w:tc>
          <w:tcPr/>
          <w:p>
            <w:pPr>
              <w:pStyle w:val="Compact"/>
              <w:jc w:val="left"/>
            </w:pPr>
            <w:r>
              <w:t xml:space="preserve">0.035</w:t>
            </w:r>
          </w:p>
        </w:tc>
      </w:tr>
      <w:tr>
        <w:tc>
          <w:tcPr/>
          <w:p>
            <w:pPr>
              <w:pStyle w:val="Compact"/>
              <w:jc w:val="left"/>
            </w:pPr>
            <w:r>
              <w:t xml:space="preserve">A</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0.032 [-0.076, 0.138]</w:t>
            </w:r>
          </w:p>
        </w:tc>
        <w:tc>
          <w:tcPr/>
          <w:p>
            <w:pPr>
              <w:pStyle w:val="Compact"/>
              <w:jc w:val="left"/>
            </w:pPr>
            <w:r>
              <w:t xml:space="preserve">55.2 %</w:t>
            </w:r>
          </w:p>
        </w:tc>
        <w:tc>
          <w:tcPr/>
          <w:p>
            <w:pPr>
              <w:pStyle w:val="Compact"/>
              <w:jc w:val="left"/>
            </w:pPr>
            <w:r>
              <w:t xml:space="preserve">0.003</w:t>
            </w:r>
          </w:p>
        </w:tc>
      </w:tr>
      <w:tr>
        <w:tc>
          <w:tcPr/>
          <w:p>
            <w:pPr>
              <w:pStyle w:val="Compact"/>
              <w:jc w:val="left"/>
            </w:pPr>
            <w:r>
              <w:t xml:space="preserve">A</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-0.013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0.076 [-0.001, 0.165]</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-0.001 [-0.059, 0.058]</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-0.072 (k=1, narrative)</w:t>
            </w:r>
          </w:p>
        </w:tc>
        <w:tc>
          <w:tcPr/>
          <w:p>
            <w:pPr>
              <w:pStyle w:val="Compact"/>
              <w:jc w:val="left"/>
            </w:pPr>
            <w:r>
              <w:t xml:space="preserve">—</w:t>
            </w:r>
          </w:p>
        </w:tc>
        <w:tc>
          <w:tcPr/>
          <w:p>
            <w:pPr>
              <w:pStyle w:val="Compact"/>
              <w:jc w:val="left"/>
            </w:pPr>
            <w:r>
              <w:t xml:space="preserve">—</w:t>
            </w:r>
          </w:p>
        </w:tc>
      </w:tr>
    </w:tbl>
    <w:p>
      <w:pPr>
        <w:pStyle w:val="BodyText"/>
      </w:pPr>
      <w:r>
        <w:t xml:space="preserve">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bookmarkEnd w:id="32"/>
    <w:bookmarkStart w:id="33" w:name="q_between-across-modality-levels"/>
    <w:p>
      <w:pPr>
        <w:pStyle w:val="Heading3"/>
      </w:pPr>
      <w:r>
        <w:t xml:space="preserve">3.3. Q_between across modality levels</w:t>
      </w:r>
    </w:p>
    <w:p>
      <w:pPr>
        <w:pStyle w:val="FirstParagraph"/>
      </w:pPr>
      <w:r>
        <w:t xml:space="preserve">Table 2 reports the per-trait Q_between contrast.</w:t>
      </w:r>
    </w:p>
    <w:p>
      <w:pPr>
        <w:pStyle w:val="BodyText"/>
      </w:pPr>
      <w:r>
        <w:rPr>
          <w:bCs/>
          <w:b/>
        </w:rPr>
        <w:t xml:space="preserve">Table 2.</w:t>
      </w:r>
      <w:r>
        <w:t xml:space="preserve"> </w:t>
      </w:r>
      <w:r>
        <w:rPr>
          <w:iCs/>
          <w:i/>
        </w:rPr>
        <w:t xml:space="preserve">Q_between random-effects contrast across modality levels (df = 1; A vs 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Trait</w:t>
            </w:r>
          </w:p>
        </w:tc>
        <w:tc>
          <w:tcPr/>
          <w:p>
            <w:pPr>
              <w:pStyle w:val="Compact"/>
              <w:jc w:val="right"/>
            </w:pPr>
            <w:r>
              <w:t xml:space="preserve">Q_between</w:t>
            </w:r>
          </w:p>
        </w:tc>
        <w:tc>
          <w:tcPr/>
          <w:p>
            <w:pPr>
              <w:pStyle w:val="Compact"/>
              <w:jc w:val="right"/>
            </w:pPr>
            <w:r>
              <w:t xml:space="preserve">p_between</w:t>
            </w:r>
          </w:p>
        </w:tc>
      </w:tr>
      <w:tr>
        <w:tc>
          <w:tcPr/>
          <w:p>
            <w:pPr>
              <w:pStyle w:val="Compact"/>
              <w:jc w:val="left"/>
            </w:pPr>
            <w:r>
              <w:t xml:space="preserve">O</w:t>
            </w:r>
          </w:p>
        </w:tc>
        <w:tc>
          <w:tcPr/>
          <w:p>
            <w:pPr>
              <w:pStyle w:val="Compact"/>
              <w:jc w:val="right"/>
            </w:pPr>
            <w:r>
              <w:t xml:space="preserve">1.96</w:t>
            </w:r>
          </w:p>
        </w:tc>
        <w:tc>
          <w:tcPr/>
          <w:p>
            <w:pPr>
              <w:pStyle w:val="Compact"/>
              <w:jc w:val="right"/>
            </w:pPr>
            <w:r>
              <w:t xml:space="preserve">.161</w:t>
            </w:r>
          </w:p>
        </w:tc>
      </w:tr>
      <w:tr>
        <w:tc>
          <w:tcPr/>
          <w:p>
            <w:pPr>
              <w:pStyle w:val="Compact"/>
              <w:jc w:val="left"/>
            </w:pPr>
            <w:r>
              <w:t xml:space="preserve">C</w:t>
            </w:r>
          </w:p>
        </w:tc>
        <w:tc>
          <w:tcPr/>
          <w:p>
            <w:pPr>
              <w:pStyle w:val="Compact"/>
              <w:jc w:val="right"/>
            </w:pPr>
            <w:r>
              <w:t xml:space="preserve">0.015</w:t>
            </w:r>
          </w:p>
        </w:tc>
        <w:tc>
          <w:tcPr/>
          <w:p>
            <w:pPr>
              <w:pStyle w:val="Compact"/>
              <w:jc w:val="right"/>
            </w:pPr>
            <w:r>
              <w:t xml:space="preserve">.903</w:t>
            </w:r>
          </w:p>
        </w:tc>
      </w:tr>
      <w:tr>
        <w:tc>
          <w:tcPr/>
          <w:p>
            <w:pPr>
              <w:pStyle w:val="Compact"/>
              <w:jc w:val="left"/>
            </w:pPr>
            <w:r>
              <w:rPr>
                <w:bCs/>
                <w:b/>
              </w:rPr>
              <w:t xml:space="preserve">E</w:t>
            </w:r>
          </w:p>
        </w:tc>
        <w:tc>
          <w:tcPr/>
          <w:p>
            <w:pPr>
              <w:pStyle w:val="Compact"/>
              <w:jc w:val="right"/>
            </w:pPr>
            <w:r>
              <w:rPr>
                <w:bCs/>
                <w:b/>
              </w:rPr>
              <w:t xml:space="preserve">17.60</w:t>
            </w:r>
          </w:p>
        </w:tc>
        <w:tc>
          <w:tcPr/>
          <w:p>
            <w:pPr>
              <w:pStyle w:val="Compact"/>
              <w:jc w:val="right"/>
            </w:pPr>
            <w:r>
              <w:rPr>
                <w:bCs/>
                <w:b/>
              </w:rPr>
              <w:t xml:space="preserve">&lt; .001</w:t>
            </w:r>
          </w:p>
        </w:tc>
      </w:tr>
      <w:tr>
        <w:tc>
          <w:tcPr/>
          <w:p>
            <w:pPr>
              <w:pStyle w:val="Compact"/>
              <w:jc w:val="left"/>
            </w:pPr>
            <w:r>
              <w:t xml:space="preserve">A</w:t>
            </w:r>
          </w:p>
        </w:tc>
        <w:tc>
          <w:tcPr/>
          <w:p>
            <w:pPr>
              <w:pStyle w:val="Compact"/>
              <w:jc w:val="right"/>
            </w:pPr>
            <w:r>
              <w:t xml:space="preserve">3.28</w:t>
            </w:r>
          </w:p>
        </w:tc>
        <w:tc>
          <w:tcPr/>
          <w:p>
            <w:pPr>
              <w:pStyle w:val="Compact"/>
              <w:jc w:val="right"/>
            </w:pPr>
            <w:r>
              <w:t xml:space="preserve">.070</w:t>
            </w:r>
          </w:p>
        </w:tc>
      </w:tr>
      <w:tr>
        <w:tc>
          <w:tcPr/>
          <w:p>
            <w:pPr>
              <w:pStyle w:val="Compact"/>
              <w:jc w:val="left"/>
            </w:pPr>
            <w:r>
              <w:t xml:space="preserve">N</w:t>
            </w:r>
          </w:p>
        </w:tc>
        <w:tc>
          <w:tcPr/>
          <w:p>
            <w:pPr>
              <w:pStyle w:val="Compact"/>
              <w:jc w:val="right"/>
            </w:pPr>
            <w:r>
              <w:t xml:space="preserve">0.42</w:t>
            </w:r>
          </w:p>
        </w:tc>
        <w:tc>
          <w:tcPr/>
          <w:p>
            <w:pPr>
              <w:pStyle w:val="Compact"/>
              <w:jc w:val="right"/>
            </w:pPr>
            <w:r>
              <w:t xml:space="preserve">.519</w:t>
            </w:r>
          </w:p>
        </w:tc>
      </w:tr>
    </w:tbl>
    <w:p>
      <w:pPr>
        <w:pStyle w:val="BodyText"/>
      </w:pPr>
      <w: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w:t>
      </w:r>
      <w:r>
        <w:t xml:space="preserve"> </w:t>
      </w:r>
      <w:r>
        <w:rPr>
          <w:iCs/>
          <w:i/>
        </w:rPr>
        <w:t xml:space="preserve">not</w:t>
      </w:r>
      <w:r>
        <w:t xml:space="preserve"> </w:t>
      </w:r>
      <w:r>
        <w:t xml:space="preserve">is informative.</w:t>
      </w:r>
    </w:p>
    <w:bookmarkEnd w:id="33"/>
    <w:bookmarkStart w:id="34" w:name="modality-x-trait-interaction-model-1"/>
    <w:p>
      <w:pPr>
        <w:pStyle w:val="Heading3"/>
      </w:pPr>
      <w:r>
        <w:t xml:space="preserve">3.4. Modality x trait interaction model</w:t>
      </w:r>
    </w:p>
    <w:p>
      <w:pPr>
        <w:pStyle w:val="FirstParagraph"/>
      </w:pPr>
      <w:r>
        <w:t xml:space="preserve">Table 3 reports the full long-format interaction model (n = 42 observations; reference cell trait = O, modality = A; tau-squared used for weighting = 0.0105).</w:t>
      </w:r>
    </w:p>
    <w:p>
      <w:pPr>
        <w:pStyle w:val="BodyText"/>
      </w:pPr>
      <w:r>
        <w:rPr>
          <w:bCs/>
          <w:b/>
        </w:rPr>
        <w:t xml:space="preserve">Table 3.</w:t>
      </w:r>
      <w:r>
        <w:t xml:space="preserve"> </w:t>
      </w:r>
      <w:r>
        <w:rPr>
          <w:iCs/>
          <w:i/>
        </w:rPr>
        <w:t xml:space="preserve">Long-format weighted-OLS interaction model (Fisher z scale).</w:t>
      </w:r>
    </w:p>
    <w:tbl>
      <w:tblPr>
        <w:tblStyle w:val="Table"/>
        <w:tblW w:type="pct" w:w="5000"/>
        <w:tblLook w:firstRow="1" w:lastRow="0" w:firstColumn="0" w:lastColumn="0" w:noHBand="0" w:noVBand="0" w:val="0020"/>
        <w:jc w:val="start"/>
      </w:tblPr>
      <w:tblGrid>
        <w:gridCol w:w="1697"/>
        <w:gridCol w:w="2828"/>
        <w:gridCol w:w="1131"/>
        <w:gridCol w:w="1131"/>
        <w:gridCol w:w="1131"/>
      </w:tblGrid>
      <w:tr>
        <w:trPr>
          <w:tblHeader w:val="true"/>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0.079</w:t>
            </w:r>
          </w:p>
        </w:tc>
        <w:tc>
          <w:tcPr/>
          <w:p>
            <w:pPr>
              <w:pStyle w:val="Compact"/>
              <w:jc w:val="right"/>
            </w:pPr>
            <w:r>
              <w:t xml:space="preserve">3.03</w:t>
            </w:r>
          </w:p>
        </w:tc>
        <w:tc>
          <w:tcPr/>
          <w:p>
            <w:pPr>
              <w:pStyle w:val="Compact"/>
              <w:jc w:val="right"/>
            </w:pPr>
            <w:r>
              <w:t xml:space="preserve">.005</w:t>
            </w:r>
          </w:p>
        </w:tc>
      </w:tr>
      <w:tr>
        <w:tc>
          <w:tcPr/>
          <w:p>
            <w:pPr>
              <w:pStyle w:val="Compact"/>
              <w:jc w:val="left"/>
            </w:pPr>
            <w:r>
              <w:t xml:space="preserve">trait[C]</w:t>
            </w:r>
          </w:p>
        </w:tc>
        <w:tc>
          <w:tcPr/>
          <w:p>
            <w:pPr>
              <w:pStyle w:val="Compact"/>
              <w:jc w:val="right"/>
            </w:pPr>
            <w:r>
              <w:t xml:space="preserve">-0.034</w:t>
            </w:r>
          </w:p>
        </w:tc>
        <w:tc>
          <w:tcPr/>
          <w:p>
            <w:pPr>
              <w:pStyle w:val="Compact"/>
              <w:jc w:val="right"/>
            </w:pPr>
            <w:r>
              <w:t xml:space="preserve">0.109</w:t>
            </w:r>
          </w:p>
        </w:tc>
        <w:tc>
          <w:tcPr/>
          <w:p>
            <w:pPr>
              <w:pStyle w:val="Compact"/>
              <w:jc w:val="right"/>
            </w:pPr>
            <w:r>
              <w:t xml:space="preserve">-0.31</w:t>
            </w:r>
          </w:p>
        </w:tc>
        <w:tc>
          <w:tcPr/>
          <w:p>
            <w:pPr>
              <w:pStyle w:val="Compact"/>
              <w:jc w:val="right"/>
            </w:pPr>
            <w:r>
              <w:t xml:space="preserve">.758</w:t>
            </w:r>
          </w:p>
        </w:tc>
      </w:tr>
      <w:tr>
        <w:tc>
          <w:tcPr/>
          <w:p>
            <w:pPr>
              <w:pStyle w:val="Compact"/>
              <w:jc w:val="left"/>
            </w:pPr>
            <w:r>
              <w:t xml:space="preserve">trait[E]</w:t>
            </w:r>
          </w:p>
        </w:tc>
        <w:tc>
          <w:tcPr/>
          <w:p>
            <w:pPr>
              <w:pStyle w:val="Compact"/>
              <w:jc w:val="right"/>
            </w:pPr>
            <w:r>
              <w:t xml:space="preserve">-0.342</w:t>
            </w:r>
          </w:p>
        </w:tc>
        <w:tc>
          <w:tcPr/>
          <w:p>
            <w:pPr>
              <w:pStyle w:val="Compact"/>
              <w:jc w:val="right"/>
            </w:pPr>
            <w:r>
              <w:t xml:space="preserve">0.111</w:t>
            </w:r>
          </w:p>
        </w:tc>
        <w:tc>
          <w:tcPr/>
          <w:p>
            <w:pPr>
              <w:pStyle w:val="Compact"/>
              <w:jc w:val="right"/>
            </w:pPr>
            <w:r>
              <w:t xml:space="preserve">-3.07</w:t>
            </w:r>
          </w:p>
        </w:tc>
        <w:tc>
          <w:tcPr/>
          <w:p>
            <w:pPr>
              <w:pStyle w:val="Compact"/>
              <w:jc w:val="right"/>
            </w:pPr>
            <w:r>
              <w:t xml:space="preserve">.004</w:t>
            </w:r>
          </w:p>
        </w:tc>
      </w:tr>
      <w:tr>
        <w:tc>
          <w:tcPr/>
          <w:p>
            <w:pPr>
              <w:pStyle w:val="Compact"/>
              <w:jc w:val="left"/>
            </w:pPr>
            <w:r>
              <w:t xml:space="preserve">trait[A]</w:t>
            </w:r>
          </w:p>
        </w:tc>
        <w:tc>
          <w:tcPr/>
          <w:p>
            <w:pPr>
              <w:pStyle w:val="Compact"/>
              <w:jc w:val="right"/>
            </w:pPr>
            <w:r>
              <w:t xml:space="preserve">0.084</w:t>
            </w:r>
          </w:p>
        </w:tc>
        <w:tc>
          <w:tcPr/>
          <w:p>
            <w:pPr>
              <w:pStyle w:val="Compact"/>
              <w:jc w:val="right"/>
            </w:pPr>
            <w:r>
              <w:t xml:space="preserve">0.111</w:t>
            </w:r>
          </w:p>
        </w:tc>
        <w:tc>
          <w:tcPr/>
          <w:p>
            <w:pPr>
              <w:pStyle w:val="Compact"/>
              <w:jc w:val="right"/>
            </w:pPr>
            <w:r>
              <w:t xml:space="preserve">0.75</w:t>
            </w:r>
          </w:p>
        </w:tc>
        <w:tc>
          <w:tcPr/>
          <w:p>
            <w:pPr>
              <w:pStyle w:val="Compact"/>
              <w:jc w:val="right"/>
            </w:pPr>
            <w:r>
              <w:t xml:space="preserve">.459</w:t>
            </w:r>
          </w:p>
        </w:tc>
      </w:tr>
      <w:tr>
        <w:tc>
          <w:tcPr/>
          <w:p>
            <w:pPr>
              <w:pStyle w:val="Compact"/>
              <w:jc w:val="left"/>
            </w:pPr>
            <w:r>
              <w:t xml:space="preserve">trait[N]</w:t>
            </w:r>
          </w:p>
        </w:tc>
        <w:tc>
          <w:tcPr/>
          <w:p>
            <w:pPr>
              <w:pStyle w:val="Compact"/>
              <w:jc w:val="right"/>
            </w:pPr>
            <w:r>
              <w:t xml:space="preserve">-0.205</w:t>
            </w:r>
          </w:p>
        </w:tc>
        <w:tc>
          <w:tcPr/>
          <w:p>
            <w:pPr>
              <w:pStyle w:val="Compact"/>
              <w:jc w:val="right"/>
            </w:pPr>
            <w:r>
              <w:t xml:space="preserve">0.109</w:t>
            </w:r>
          </w:p>
        </w:tc>
        <w:tc>
          <w:tcPr/>
          <w:p>
            <w:pPr>
              <w:pStyle w:val="Compact"/>
              <w:jc w:val="right"/>
            </w:pPr>
            <w:r>
              <w:t xml:space="preserve">-1.87</w:t>
            </w:r>
          </w:p>
        </w:tc>
        <w:tc>
          <w:tcPr/>
          <w:p>
            <w:pPr>
              <w:pStyle w:val="Compact"/>
              <w:jc w:val="right"/>
            </w:pPr>
            <w:r>
              <w:t xml:space="preserve">.070</w:t>
            </w:r>
          </w:p>
        </w:tc>
      </w:tr>
      <w:tr>
        <w:tc>
          <w:tcPr/>
          <w:p>
            <w:pPr>
              <w:pStyle w:val="Compact"/>
              <w:jc w:val="left"/>
            </w:pPr>
            <w:r>
              <w:t xml:space="preserve">modality[M]</w:t>
            </w:r>
          </w:p>
        </w:tc>
        <w:tc>
          <w:tcPr/>
          <w:p>
            <w:pPr>
              <w:pStyle w:val="Compact"/>
              <w:jc w:val="right"/>
            </w:pPr>
            <w:r>
              <w:t xml:space="preserve">-0.226</w:t>
            </w:r>
          </w:p>
        </w:tc>
        <w:tc>
          <w:tcPr/>
          <w:p>
            <w:pPr>
              <w:pStyle w:val="Compact"/>
              <w:jc w:val="right"/>
            </w:pPr>
            <w:r>
              <w:t xml:space="preserve">0.098</w:t>
            </w:r>
          </w:p>
        </w:tc>
        <w:tc>
          <w:tcPr/>
          <w:p>
            <w:pPr>
              <w:pStyle w:val="Compact"/>
              <w:jc w:val="right"/>
            </w:pPr>
            <w:r>
              <w:t xml:space="preserve">-2.31</w:t>
            </w:r>
          </w:p>
        </w:tc>
        <w:tc>
          <w:tcPr/>
          <w:p>
            <w:pPr>
              <w:pStyle w:val="Compact"/>
              <w:jc w:val="right"/>
            </w:pPr>
            <w:r>
              <w:t xml:space="preserve">.027</w:t>
            </w:r>
          </w:p>
        </w:tc>
      </w:tr>
      <w:tr>
        <w:tc>
          <w:tcPr/>
          <w:p>
            <w:pPr>
              <w:pStyle w:val="Compact"/>
              <w:jc w:val="left"/>
            </w:pPr>
            <w:r>
              <w:t xml:space="preserve">trait[C]:modality[M]</w:t>
            </w:r>
          </w:p>
        </w:tc>
        <w:tc>
          <w:tcPr/>
          <w:p>
            <w:pPr>
              <w:pStyle w:val="Compact"/>
              <w:jc w:val="right"/>
            </w:pPr>
            <w:r>
              <w:t xml:space="preserve">0.203</w:t>
            </w:r>
          </w:p>
        </w:tc>
        <w:tc>
          <w:tcPr/>
          <w:p>
            <w:pPr>
              <w:pStyle w:val="Compact"/>
              <w:jc w:val="right"/>
            </w:pPr>
            <w:r>
              <w:t xml:space="preserve">0.137</w:t>
            </w:r>
          </w:p>
        </w:tc>
        <w:tc>
          <w:tcPr/>
          <w:p>
            <w:pPr>
              <w:pStyle w:val="Compact"/>
              <w:jc w:val="right"/>
            </w:pPr>
            <w:r>
              <w:t xml:space="preserve">1.49</w:t>
            </w:r>
          </w:p>
        </w:tc>
        <w:tc>
          <w:tcPr/>
          <w:p>
            <w:pPr>
              <w:pStyle w:val="Compact"/>
              <w:jc w:val="right"/>
            </w:pPr>
            <w:r>
              <w:t xml:space="preserve">.147</w:t>
            </w:r>
          </w:p>
        </w:tc>
      </w:tr>
      <w:tr>
        <w:tc>
          <w:tcPr/>
          <w:p>
            <w:pPr>
              <w:pStyle w:val="Compact"/>
              <w:jc w:val="left"/>
            </w:pPr>
            <w:r>
              <w:rPr>
                <w:bCs/>
                <w:b/>
              </w:rPr>
              <w:t xml:space="preserve">trait[E]:modality[M]</w:t>
            </w:r>
          </w:p>
        </w:tc>
        <w:tc>
          <w:tcPr/>
          <w:p>
            <w:pPr>
              <w:pStyle w:val="Compact"/>
              <w:jc w:val="right"/>
            </w:pPr>
            <w:r>
              <w:rPr>
                <w:bCs/>
                <w:b/>
              </w:rPr>
              <w:t xml:space="preserve">0.385</w:t>
            </w:r>
          </w:p>
        </w:tc>
        <w:tc>
          <w:tcPr/>
          <w:p>
            <w:pPr>
              <w:pStyle w:val="Compact"/>
              <w:jc w:val="right"/>
            </w:pPr>
            <w:r>
              <w:rPr>
                <w:bCs/>
                <w:b/>
              </w:rPr>
              <w:t xml:space="preserve">0.138</w:t>
            </w:r>
          </w:p>
        </w:tc>
        <w:tc>
          <w:tcPr/>
          <w:p>
            <w:pPr>
              <w:pStyle w:val="Compact"/>
              <w:jc w:val="right"/>
            </w:pPr>
            <w:r>
              <w:rPr>
                <w:bCs/>
                <w:b/>
              </w:rPr>
              <w:t xml:space="preserve">2.78</w:t>
            </w:r>
          </w:p>
        </w:tc>
        <w:tc>
          <w:tcPr/>
          <w:p>
            <w:pPr>
              <w:pStyle w:val="Compact"/>
              <w:jc w:val="right"/>
            </w:pPr>
            <w:r>
              <w:rPr>
                <w:bCs/>
                <w:b/>
              </w:rPr>
              <w:t xml:space="preserve">.009</w:t>
            </w:r>
          </w:p>
        </w:tc>
      </w:tr>
      <w:tr>
        <w:tc>
          <w:tcPr/>
          <w:p>
            <w:pPr>
              <w:pStyle w:val="Compact"/>
              <w:jc w:val="left"/>
            </w:pPr>
            <w:r>
              <w:t xml:space="preserve">trait[A]:modality[M]</w:t>
            </w:r>
          </w:p>
        </w:tc>
        <w:tc>
          <w:tcPr/>
          <w:p>
            <w:pPr>
              <w:pStyle w:val="Compact"/>
              <w:jc w:val="right"/>
            </w:pPr>
            <w:r>
              <w:t xml:space="preserve">-0.061</w:t>
            </w:r>
          </w:p>
        </w:tc>
        <w:tc>
          <w:tcPr/>
          <w:p>
            <w:pPr>
              <w:pStyle w:val="Compact"/>
              <w:jc w:val="right"/>
            </w:pPr>
            <w:r>
              <w:t xml:space="preserve">0.138</w:t>
            </w:r>
          </w:p>
        </w:tc>
        <w:tc>
          <w:tcPr/>
          <w:p>
            <w:pPr>
              <w:pStyle w:val="Compact"/>
              <w:jc w:val="right"/>
            </w:pPr>
            <w:r>
              <w:t xml:space="preserve">-0.44</w:t>
            </w:r>
          </w:p>
        </w:tc>
        <w:tc>
          <w:tcPr/>
          <w:p>
            <w:pPr>
              <w:pStyle w:val="Compact"/>
              <w:jc w:val="right"/>
            </w:pPr>
            <w:r>
              <w:t xml:space="preserve">.662</w:t>
            </w:r>
          </w:p>
        </w:tc>
      </w:tr>
      <w:tr>
        <w:tc>
          <w:tcPr/>
          <w:p>
            <w:pPr>
              <w:pStyle w:val="Compact"/>
              <w:jc w:val="left"/>
            </w:pPr>
            <w:r>
              <w:t xml:space="preserve">trait[N]:modality[M]</w:t>
            </w:r>
          </w:p>
        </w:tc>
        <w:tc>
          <w:tcPr/>
          <w:p>
            <w:pPr>
              <w:pStyle w:val="Compact"/>
              <w:jc w:val="right"/>
            </w:pPr>
            <w:r>
              <w:t xml:space="preserve">0.222</w:t>
            </w:r>
          </w:p>
        </w:tc>
        <w:tc>
          <w:tcPr/>
          <w:p>
            <w:pPr>
              <w:pStyle w:val="Compact"/>
              <w:jc w:val="right"/>
            </w:pPr>
            <w:r>
              <w:t xml:space="preserve">0.137</w:t>
            </w:r>
          </w:p>
        </w:tc>
        <w:tc>
          <w:tcPr/>
          <w:p>
            <w:pPr>
              <w:pStyle w:val="Compact"/>
              <w:jc w:val="right"/>
            </w:pPr>
            <w:r>
              <w:t xml:space="preserve">1.62</w:t>
            </w:r>
          </w:p>
        </w:tc>
        <w:tc>
          <w:tcPr/>
          <w:p>
            <w:pPr>
              <w:pStyle w:val="Compact"/>
              <w:jc w:val="right"/>
            </w:pPr>
            <w:r>
              <w:t xml:space="preserve">.114</w:t>
            </w:r>
          </w:p>
        </w:tc>
      </w:tr>
    </w:tbl>
    <w:p>
      <w:pPr>
        <w:pStyle w:val="BodyText"/>
      </w:pPr>
      <w:r>
        <w:t xml:space="preserve">The joint Wald test on the four interaction coefficients is</w:t>
      </w:r>
      <w:r>
        <w:t xml:space="preserve"> </w:t>
      </w:r>
      <w:r>
        <w:rPr>
          <w:bCs/>
          <w:b/>
        </w:rPr>
        <w:t xml:space="preserve">chi-squared(4) = 13.64, p = .0085</w:t>
      </w:r>
      <w:r>
        <w:t xml:space="preserve">,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bookmarkEnd w:id="34"/>
    <w:bookmarkStart w:id="35" w:name="sensitivity"/>
    <w:p>
      <w:pPr>
        <w:pStyle w:val="Heading3"/>
      </w:pPr>
      <w:r>
        <w:t xml:space="preserve">3.5. Sensitivity</w:t>
      </w:r>
    </w:p>
    <w:p>
      <w:pPr>
        <w:pStyle w:val="FirstParagraph"/>
      </w:pPr>
      <w: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w:t>
      </w:r>
      <w:r>
        <w:t xml:space="preserve"> </w:t>
      </w:r>
      <w:r>
        <w:rPr>
          <w:rStyle w:val="VerbatimChar"/>
        </w:rPr>
        <w:t xml:space="preserve">results/sensitivity_analysis_summary.md</w:t>
      </w:r>
      <w:r>
        <w:t xml:space="preserve">. The headline interaction effect is qualitatively robust under all three scenarios.</w:t>
      </w:r>
    </w:p>
    <w:p>
      <w:r>
        <w:pict>
          <v:rect style="width:0;height:1.5pt" o:hralign="center" o:hrstd="t" o:hr="t"/>
        </w:pict>
      </w:r>
    </w:p>
    <w:bookmarkEnd w:id="35"/>
    <w:bookmarkEnd w:id="36"/>
    <w:bookmarkStart w:id="41" w:name="discussion"/>
    <w:p>
      <w:pPr>
        <w:pStyle w:val="Heading2"/>
      </w:pPr>
      <w:r>
        <w:t xml:space="preserve">4. Discussion</w:t>
      </w:r>
    </w:p>
    <w:bookmarkStart w:id="37" w:name="the-conscientiousness-invariance"/>
    <w:p>
      <w:pPr>
        <w:pStyle w:val="Heading3"/>
      </w:pPr>
      <w:r>
        <w:t xml:space="preserve">4.1. The Conscientiousness invariance</w:t>
      </w:r>
    </w:p>
    <w:p>
      <w:pPr>
        <w:pStyle w:val="FirstParagraph"/>
      </w:pPr>
      <w:r>
        <w:t xml:space="preserve">The most striking pattern in Table 1 is what</w:t>
      </w:r>
      <w:r>
        <w:t xml:space="preserve"> </w:t>
      </w:r>
      <w:r>
        <w:rPr>
          <w:iCs/>
          <w:i/>
        </w:rPr>
        <w:t xml:space="preserve">does not</w:t>
      </w:r>
      <w:r>
        <w:t xml:space="preserve"> </w:t>
      </w:r>
      <w:r>
        <w:t xml:space="preserve">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w:t>
      </w:r>
      <w:r>
        <w:t xml:space="preserve"> </w:t>
      </w:r>
      <w:r>
        <w:rPr>
          <w:iCs/>
          <w:i/>
        </w:rPr>
        <w:t xml:space="preserve">at finer modality resolution</w:t>
      </w:r>
      <w:r>
        <w:t xml:space="preserve">.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bookmarkEnd w:id="37"/>
    <w:bookmarkStart w:id="38" w:name="the-extraversion-modality-dependence"/>
    <w:p>
      <w:pPr>
        <w:pStyle w:val="Heading3"/>
      </w:pPr>
      <w:r>
        <w:t xml:space="preserve">4.2. The Extraversion modality dependence</w:t>
      </w:r>
    </w:p>
    <w:p>
      <w:pPr>
        <w:pStyle w:val="FirstParagraph"/>
      </w:pPr>
      <w:r>
        <w:t xml:space="preserve">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pPr>
        <w:pStyle w:val="BodyText"/>
      </w:pPr>
      <w:r>
        <w:t xml:space="preserve">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bookmarkEnd w:id="38"/>
    <w:bookmarkStart w:id="39" w:name="other-traits"/>
    <w:p>
      <w:pPr>
        <w:pStyle w:val="Heading3"/>
      </w:pPr>
      <w:r>
        <w:t xml:space="preserve">4.3. Other traits</w:t>
      </w:r>
    </w:p>
    <w:p>
      <w:pPr>
        <w:numPr>
          <w:ilvl w:val="0"/>
          <w:numId w:val="1003"/>
        </w:numPr>
        <w:pStyle w:val="Compact"/>
      </w:pPr>
      <w:r>
        <w:rPr>
          <w:bCs/>
          <w:b/>
        </w:rPr>
        <w:t xml:space="preserve">Openness</w:t>
      </w:r>
      <w:r>
        <w:t xml:space="preserve">: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numPr>
          <w:ilvl w:val="0"/>
          <w:numId w:val="1003"/>
        </w:numPr>
        <w:pStyle w:val="Compact"/>
      </w:pPr>
      <w:r>
        <w:rPr>
          <w:bCs/>
          <w:b/>
        </w:rPr>
        <w:t xml:space="preserve">Agreeableness</w:t>
      </w:r>
      <w:r>
        <w:t xml:space="preserve">: A trend pattern parallel to Extraversion (A r = +0.283, M r = +0.032; Q_between p = .070), but again k = 3 in async and a wide CI. Worth flagging for future replication; not actionable now.</w:t>
      </w:r>
    </w:p>
    <w:p>
      <w:pPr>
        <w:numPr>
          <w:ilvl w:val="0"/>
          <w:numId w:val="1003"/>
        </w:numPr>
        <w:pStyle w:val="Compact"/>
      </w:pPr>
      <w:r>
        <w:rPr>
          <w:bCs/>
          <w:b/>
        </w:rPr>
        <w:t xml:space="preserve">Neuroticism</w:t>
      </w:r>
      <w:r>
        <w:t xml:space="preserve">: The async cell shows a small positive effect (r = +0.076, CI just touching zero), the mixed cell is essentially null. No modality dependence (p = .519).</w:t>
      </w:r>
    </w:p>
    <w:bookmarkEnd w:id="39"/>
    <w:bookmarkStart w:id="40" w:name="self-plagiarism-firewall"/>
    <w:p>
      <w:pPr>
        <w:pStyle w:val="Heading3"/>
      </w:pPr>
      <w:r>
        <w:t xml:space="preserve">4.4. Self-plagiarism firewall</w:t>
      </w:r>
    </w:p>
    <w:p>
      <w:pPr>
        <w:pStyle w:val="FirstParagraph"/>
      </w:pPr>
      <w:r>
        <w:t xml:space="preserve">This paper completes a moderator analysis the parent preprint</w:t>
      </w:r>
      <w:r>
        <w:t xml:space="preserve"> </w:t>
      </w:r>
      <w:r>
        <w:rPr>
          <w:iCs/>
          <w:i/>
        </w:rPr>
        <w:t xml:space="preserve">registered</w:t>
      </w:r>
      <w:r>
        <w:t xml:space="preserve"> </w:t>
      </w:r>
      <w:r>
        <w:t xml:space="preserve">but elected not to</w:t>
      </w:r>
      <w:r>
        <w:t xml:space="preserve"> </w:t>
      </w:r>
      <w:r>
        <w:rPr>
          <w:iCs/>
          <w:i/>
        </w:rPr>
        <w:t xml:space="preserve">execute</w:t>
      </w:r>
      <w:r>
        <w:t xml:space="preserve"> </w:t>
      </w:r>
      <w:r>
        <w:t xml:space="preserve">on k-grounds. Both the modality-stratified table and the long-format interaction model are absent from the preprint Methods and Results sections. The disclosure block in the cover letter (template:</w:t>
      </w:r>
      <w:r>
        <w:t xml:space="preserve"> </w:t>
      </w:r>
      <w:r>
        <w:rPr>
          <w:rStyle w:val="VerbatimChar"/>
        </w:rPr>
        <w:t xml:space="preserve">templates/preprint_disclosure_template.md</w:t>
      </w:r>
      <w:r>
        <w:t xml:space="preserve">)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r>
        <w:pict>
          <v:rect style="width:0;height:1.5pt" o:hralign="center" o:hrstd="t" o:hr="t"/>
        </w:pict>
      </w:r>
    </w:p>
    <w:bookmarkEnd w:id="40"/>
    <w:bookmarkEnd w:id="41"/>
    <w:bookmarkStart w:id="42" w:name="limitations"/>
    <w:p>
      <w:pPr>
        <w:pStyle w:val="Heading2"/>
      </w:pPr>
      <w:r>
        <w:t xml:space="preserve">5. Limitations</w:t>
      </w:r>
    </w:p>
    <w:p>
      <w:pPr>
        <w:pStyle w:val="FirstParagraph"/>
      </w:pPr>
      <w:r>
        <w:t xml:space="preserve">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pPr>
        <w:pStyle w:val="BodyText"/>
      </w:pPr>
      <w:r>
        <w:t xml:space="preserve">Modality re-coding for the four U-bucket studies is necessarily an inferential step. The original PDFs contain language consistent with the assigned modality but do not always state synchrony / asynchrony explicitly. The preprint footnote to Table 1 reports that</w:t>
      </w:r>
      <w:r>
        <w:t xml:space="preserve"> </w:t>
      </w:r>
      <w:r>
        <w:t xml:space="preserve">“</w:t>
      </w:r>
      <w:r>
        <w:t xml:space="preserve">the asynchronous/synchronous distinction was explicitly reported for only 9 studies</w:t>
      </w:r>
      <w:r>
        <w:t xml:space="preserve">”</w:t>
      </w:r>
      <w:r>
        <w:t xml:space="preserve">; the present paper extends this to 12 by adding the 4 PDF-grounded inferences, all of which are documented with citations in</w:t>
      </w:r>
      <w:r>
        <w:t xml:space="preserve"> </w:t>
      </w:r>
      <w:r>
        <w:rPr>
          <w:rStyle w:val="VerbatimChar"/>
        </w:rPr>
        <w:t xml:space="preserve">preprint_audit.md</w:t>
      </w:r>
      <w:r>
        <w:t xml:space="preserve"> </w:t>
      </w:r>
      <w:r>
        <w:t xml:space="preserve">section 4. A second-coder audit would strengthen the coding but is not feasible for a single-author submission.</w:t>
      </w:r>
    </w:p>
    <w:p>
      <w:pPr>
        <w:pStyle w:val="BodyText"/>
      </w:pPr>
      <w:r>
        <w:t xml:space="preserve">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pPr>
        <w:pStyle w:val="BodyText"/>
      </w:pPr>
      <w: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w:t>
      </w:r>
      <w:r>
        <w:t xml:space="preserve">would be a useful follow-up replication.</w:t>
      </w:r>
    </w:p>
    <w:p>
      <w:r>
        <w:pict>
          <v:rect style="width:0;height:1.5pt" o:hralign="center" o:hrstd="t" o:hr="t"/>
        </w:pict>
      </w:r>
    </w:p>
    <w:bookmarkEnd w:id="42"/>
    <w:bookmarkStart w:id="43" w:name="conclusion"/>
    <w:p>
      <w:pPr>
        <w:pStyle w:val="Heading2"/>
      </w:pPr>
      <w:r>
        <w:t xml:space="preserve">6. Conclusion</w:t>
      </w:r>
    </w:p>
    <w:p>
      <w:pPr>
        <w:pStyle w:val="FirstParagraph"/>
      </w:pPr>
      <w:r>
        <w:t xml:space="preserve">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pPr>
        <w:pStyle w:val="BodyText"/>
      </w:pPr>
      <w:r>
        <w:t xml:space="preserve">Two implications for course designers and educational researchers follow. First, in asynchronous-dominant programmes, Big Five-based personalisation should target self-regulation supports rather than personality-fit recommendations: there is no</w:t>
      </w:r>
      <w:r>
        <w:t xml:space="preserve"> </w:t>
      </w:r>
      <w:r>
        <w:t xml:space="preserve">“</w:t>
      </w:r>
      <w:r>
        <w:t xml:space="preserve">right</w:t>
      </w:r>
      <w:r>
        <w:t xml:space="preserve">”</w:t>
      </w:r>
      <w:r>
        <w:t xml:space="preserve"> </w:t>
      </w:r>
      <w:r>
        <w:t xml:space="preserve">trait profile, only a robust Conscientiousness gradient. Second, course-designer claims that extraverts succeed in online environments cannot be applied uniformly — they hold (weakly) in mixed-online and synchronous formats and</w:t>
      </w:r>
      <w:r>
        <w:t xml:space="preserve"> </w:t>
      </w:r>
      <w:r>
        <w:rPr>
          <w:iCs/>
          <w:i/>
        </w:rPr>
        <w:t xml:space="preserve">invert</w:t>
      </w:r>
      <w:r>
        <w:t xml:space="preserve"> </w:t>
      </w:r>
      <w:r>
        <w:t xml:space="preserve">in asynchronous-only formats. This trait-by-modality contingency is exactly the pattern self-regulated-learning theory (Pintrich, 2004; Zimmerman, 2000) predicts.</w:t>
      </w:r>
    </w:p>
    <w:p>
      <w:pPr>
        <w:pStyle w:val="BodyText"/>
      </w:pPr>
      <w:r>
        <w:t xml:space="preserve">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r>
        <w:pict>
          <v:rect style="width:0;height:1.5pt" o:hralign="center" o:hrstd="t" o:hr="t"/>
        </w:pict>
      </w:r>
    </w:p>
    <w:bookmarkEnd w:id="43"/>
    <w:bookmarkStart w:id="44"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w:t>
      </w:r>
    </w:p>
    <w:bookmarkStart w:id="45" w:name="primary-studies-cited"/>
    <w:p>
      <w:pPr>
        <w:pStyle w:val="Heading3"/>
      </w:pPr>
      <w:r>
        <w:t xml:space="preserve">Primary studies cited</w:t>
      </w:r>
    </w:p>
    <w:p>
      <w:pPr>
        <w:numPr>
          <w:ilvl w:val="0"/>
          <w:numId w:val="1004"/>
        </w:numPr>
        <w:pStyle w:val="Compact"/>
      </w:pPr>
      <w:r>
        <w:t xml:space="preserve">Abe, J. A. A. (2020). Big five, linguistic styles, and successful online learning.</w:t>
      </w:r>
      <w:r>
        <w:t xml:space="preserve"> </w:t>
      </w:r>
      <w:r>
        <w:rPr>
          <w:iCs/>
          <w:i/>
        </w:rPr>
        <w:t xml:space="preserve">The Internet and Higher Education, 45</w:t>
      </w:r>
      <w:r>
        <w:t xml:space="preserve">, 100724. https://doi.org/10.1016/j.iheduc.2019.100724</w:t>
      </w:r>
    </w:p>
    <w:p>
      <w:pPr>
        <w:numPr>
          <w:ilvl w:val="0"/>
          <w:numId w:val="1004"/>
        </w:numPr>
        <w:pStyle w:val="Compact"/>
      </w:pPr>
      <w:r>
        <w:t xml:space="preserve">Alkış, N., &amp; Taşkaya Temizel, T. (2018). The impact of motivation and personality on academic performance in online and blended learning environments.</w:t>
      </w:r>
      <w:r>
        <w:t xml:space="preserve"> </w:t>
      </w:r>
      <w:r>
        <w:rPr>
          <w:iCs/>
          <w:i/>
        </w:rPr>
        <w:t xml:space="preserve">Educational Technology &amp; Society, 21</w:t>
      </w:r>
      <w:r>
        <w:t xml:space="preserve">(3), 35–47.</w:t>
      </w:r>
    </w:p>
    <w:p>
      <w:pPr>
        <w:numPr>
          <w:ilvl w:val="0"/>
          <w:numId w:val="1004"/>
        </w:numPr>
        <w:pStyle w:val="Compact"/>
      </w:pPr>
      <w:r>
        <w:t xml:space="preserve">Bahçekapılı, E., &amp; Karaman, S. (2020). A path analysis of five-factor personality traits, self-efficacy, academic locus of control and academic achievement among online students.</w:t>
      </w:r>
      <w:r>
        <w:t xml:space="preserve"> </w:t>
      </w:r>
      <w:r>
        <w:rPr>
          <w:iCs/>
          <w:i/>
        </w:rPr>
        <w:t xml:space="preserve">Knowledge Management &amp; E-Learning, 12</w:t>
      </w:r>
      <w:r>
        <w:t xml:space="preserve">(2), 191–208. https://doi.org/10.34105/j.kmel.2020.12.010</w:t>
      </w:r>
    </w:p>
    <w:p>
      <w:pPr>
        <w:numPr>
          <w:ilvl w:val="0"/>
          <w:numId w:val="1004"/>
        </w:numPr>
        <w:pStyle w:val="Compact"/>
      </w:pPr>
      <w:r>
        <w:t xml:space="preserve">Cheng, S.-L., Chang, J.-C., Quilantan-Garza, K., &amp; Gutierrez, M. L. (2023). Conscientiousness, prior experience, achievement emotions and academic procrastination in online learning environments.</w:t>
      </w:r>
      <w:r>
        <w:t xml:space="preserve"> </w:t>
      </w:r>
      <w:r>
        <w:rPr>
          <w:iCs/>
          <w:i/>
        </w:rPr>
        <w:t xml:space="preserve">British Journal of Educational Technology, 54</w:t>
      </w:r>
      <w:r>
        <w:t xml:space="preserve">(4), 898–923. https://doi.org/10.1111/bjet.13302</w:t>
      </w:r>
    </w:p>
    <w:p>
      <w:pPr>
        <w:numPr>
          <w:ilvl w:val="0"/>
          <w:numId w:val="1004"/>
        </w:numPr>
        <w:pStyle w:val="Compact"/>
      </w:pPr>
      <w:r>
        <w:t xml:space="preserve">Elvers, G. C., Polzella, D. J., &amp; Graetz, K. (2003). Procrastination in online courses: Performance and attitudinal differences.</w:t>
      </w:r>
      <w:r>
        <w:t xml:space="preserve"> </w:t>
      </w:r>
      <w:r>
        <w:rPr>
          <w:iCs/>
          <w:i/>
        </w:rPr>
        <w:t xml:space="preserve">Teaching of Psychology, 30</w:t>
      </w:r>
      <w:r>
        <w:t xml:space="preserve">(2), 159–162. https://doi.org/10.1207/S15328023TOP3002_13</w:t>
      </w:r>
    </w:p>
    <w:p>
      <w:pPr>
        <w:numPr>
          <w:ilvl w:val="0"/>
          <w:numId w:val="1004"/>
        </w:numPr>
        <w:pStyle w:val="Compact"/>
      </w:pPr>
      <w:r>
        <w:t xml:space="preserve">Kaspar, K., Burtniak, K., &amp; Rüth, M. (2023). Online learning during the Covid-19 pandemic: How university students’ perceptions, engagement, and performance are related to their personal characteristics.</w:t>
      </w:r>
      <w:r>
        <w:t xml:space="preserve"> </w:t>
      </w:r>
      <w:r>
        <w:rPr>
          <w:iCs/>
          <w:i/>
        </w:rPr>
        <w:t xml:space="preserve">Current Psychology, 42</w:t>
      </w:r>
      <w:r>
        <w:t xml:space="preserve">(30), 26571–26586. https://doi.org/10.1007/s12144-023-04403-9</w:t>
      </w:r>
    </w:p>
    <w:p>
      <w:pPr>
        <w:numPr>
          <w:ilvl w:val="0"/>
          <w:numId w:val="1004"/>
        </w:numPr>
        <w:pStyle w:val="Compact"/>
      </w:pPr>
      <w:r>
        <w:t xml:space="preserve">Quigley, M., Bradley, A., Playfoot, D., &amp; Harrad, R. (2022). Personality traits and stress perception as predictors of students’ online engagement during the COVID-19 pandemic.</w:t>
      </w:r>
      <w:r>
        <w:t xml:space="preserve"> </w:t>
      </w:r>
      <w:r>
        <w:rPr>
          <w:iCs/>
          <w:i/>
        </w:rPr>
        <w:t xml:space="preserve">Personality and Individual Differences, 194</w:t>
      </w:r>
      <w:r>
        <w:t xml:space="preserve">, 111645. https://doi.org/10.1016/j.paid.2022.111645</w:t>
      </w:r>
    </w:p>
    <w:p>
      <w:pPr>
        <w:numPr>
          <w:ilvl w:val="0"/>
          <w:numId w:val="1004"/>
        </w:numPr>
        <w:pStyle w:val="Compact"/>
      </w:pPr>
      <w:r>
        <w:t xml:space="preserve">Rivers, D. J. (2021). The role of personality traits and online academic self-efficacy in acceptance, actual use and achievement in Moodle.</w:t>
      </w:r>
      <w:r>
        <w:t xml:space="preserve"> </w:t>
      </w:r>
      <w:r>
        <w:rPr>
          <w:iCs/>
          <w:i/>
        </w:rPr>
        <w:t xml:space="preserve">Education and Information Technologies, 26</w:t>
      </w:r>
      <w:r>
        <w:t xml:space="preserve">(4), 4353–4378. https://doi.org/10.1007/s10639-021-10478-3</w:t>
      </w:r>
    </w:p>
    <w:p>
      <w:pPr>
        <w:numPr>
          <w:ilvl w:val="0"/>
          <w:numId w:val="1004"/>
        </w:numPr>
        <w:pStyle w:val="Compact"/>
      </w:pPr>
      <w:r>
        <w:t xml:space="preserve">Rodrigues, J., Rose, R., &amp; Hewig, J. (2024). The relation of Big Five personality traits on academic performance, well-being and home study satisfaction in Corona times.</w:t>
      </w:r>
      <w:r>
        <w:t xml:space="preserve"> </w:t>
      </w:r>
      <w:r>
        <w:rPr>
          <w:iCs/>
          <w:i/>
        </w:rPr>
        <w:t xml:space="preserve">European Journal of Investigation in Health, Psychology and Education, 14</w:t>
      </w:r>
      <w:r>
        <w:t xml:space="preserve">(2), 368–384. https://doi.org/10.3390/ejihpe14020025</w:t>
      </w:r>
    </w:p>
    <w:p>
      <w:pPr>
        <w:numPr>
          <w:ilvl w:val="0"/>
          <w:numId w:val="1004"/>
        </w:numPr>
        <w:pStyle w:val="Compact"/>
      </w:pPr>
      <w:r>
        <w:t xml:space="preserve">Tokiwa, E. (2025). Who excels in online learning in Japan?</w:t>
      </w:r>
      <w:r>
        <w:t xml:space="preserve"> </w:t>
      </w:r>
      <w:r>
        <w:rPr>
          <w:iCs/>
          <w:i/>
        </w:rPr>
        <w:t xml:space="preserve">Frontiers in Psychology, 16</w:t>
      </w:r>
      <w:r>
        <w:t xml:space="preserve">, Article 1420996. https://doi.org/10.3389/fpsyg.2025.1420996</w:t>
      </w:r>
    </w:p>
    <w:p>
      <w:pPr>
        <w:numPr>
          <w:ilvl w:val="0"/>
          <w:numId w:val="1004"/>
        </w:numPr>
        <w:pStyle w:val="Compact"/>
      </w:pPr>
      <w:r>
        <w:t xml:space="preserve">Wang, P., Wang, F., &amp; Li, Z. (2023). Exploring the ecosystem of K-12 online learning: An empirical study of impact mechanisms in the post-pandemic era.</w:t>
      </w:r>
      <w:r>
        <w:t xml:space="preserve"> </w:t>
      </w:r>
      <w:r>
        <w:rPr>
          <w:iCs/>
          <w:i/>
        </w:rPr>
        <w:t xml:space="preserve">Frontiers in Psychology, 14</w:t>
      </w:r>
      <w:r>
        <w:t xml:space="preserve">, 1241477. https://doi.org/10.3389/fpsyg.2023.1241477</w:t>
      </w:r>
    </w:p>
    <w:p>
      <w:pPr>
        <w:numPr>
          <w:ilvl w:val="0"/>
          <w:numId w:val="1004"/>
        </w:numPr>
        <w:pStyle w:val="Compact"/>
      </w:pPr>
      <w:r>
        <w:t xml:space="preserve">Yu, Z. (2021). The effects of gender, educational level, and personality on online learning outcomes during the COVID-19 pandemic.</w:t>
      </w:r>
      <w:r>
        <w:t xml:space="preserve"> </w:t>
      </w:r>
      <w:r>
        <w:rPr>
          <w:iCs/>
          <w:i/>
        </w:rPr>
        <w:t xml:space="preserve">International Journal of Educational Technology in Higher Education, 18</w:t>
      </w:r>
      <w:r>
        <w:t xml:space="preserve">(1), Article 14. https://doi.org/10.1186/s41239-021-00252-3</w:t>
      </w:r>
    </w:p>
    <w:p>
      <w:pPr>
        <w:numPr>
          <w:ilvl w:val="0"/>
          <w:numId w:val="1004"/>
        </w:numPr>
        <w:pStyle w:val="Compact"/>
      </w:pPr>
      <w:r>
        <w:t xml:space="preserve">Zheng, Y., &amp; Zheng, S. (2023). Exploring educational impacts among pre, during and post COVID-19 lockdowns from students with different personality traits.</w:t>
      </w:r>
      <w:r>
        <w:t xml:space="preserve"> </w:t>
      </w:r>
      <w:r>
        <w:rPr>
          <w:iCs/>
          <w:i/>
        </w:rPr>
        <w:t xml:space="preserve">International Journal of Educational Technology in Higher Education, 20</w:t>
      </w:r>
      <w:r>
        <w:t xml:space="preserve">(1), Article 21. https://doi.org/10.1186/s41239-023-00388-4</w:t>
      </w:r>
    </w:p>
    <w:bookmarkEnd w:id="45"/>
    <w:bookmarkStart w:id="46" w:name="benchmark-meta-analyses-cited"/>
    <w:p>
      <w:pPr>
        <w:pStyle w:val="Heading3"/>
      </w:pPr>
      <w:r>
        <w:t xml:space="preserve">Benchmark meta-analyses cited</w:t>
      </w:r>
    </w:p>
    <w:p>
      <w:pPr>
        <w:numPr>
          <w:ilvl w:val="0"/>
          <w:numId w:val="1005"/>
        </w:numPr>
        <w:pStyle w:val="Compact"/>
      </w:pPr>
      <w:r>
        <w:t xml:space="preserve">Mammadov, S. (2022). Big Five personality traits and academic performance: A meta-analysis.</w:t>
      </w:r>
      <w:r>
        <w:t xml:space="preserve"> </w:t>
      </w:r>
      <w:r>
        <w:rPr>
          <w:iCs/>
          <w:i/>
        </w:rPr>
        <w:t xml:space="preserve">Journal of Personality, 90</w:t>
      </w:r>
      <w:r>
        <w:t xml:space="preserve">(2), 222–255. https://doi.org/10.1111/jopy.12663</w:t>
      </w:r>
    </w:p>
    <w:p>
      <w:pPr>
        <w:numPr>
          <w:ilvl w:val="0"/>
          <w:numId w:val="1005"/>
        </w:numPr>
        <w:pStyle w:val="Compact"/>
      </w:pPr>
      <w:r>
        <w:t xml:space="preserve">Poropat, A. E. (2009). A meta-analysis of the five-factor model of personality and academic performance.</w:t>
      </w:r>
      <w:r>
        <w:t xml:space="preserve"> </w:t>
      </w:r>
      <w:r>
        <w:rPr>
          <w:iCs/>
          <w:i/>
        </w:rPr>
        <w:t xml:space="preserve">Psychological Bulletin, 135</w:t>
      </w:r>
      <w:r>
        <w:t xml:space="preserve">(2), 322–338. https://doi.org/10.1037/a0014996</w:t>
      </w:r>
    </w:p>
    <w:p>
      <w:pPr>
        <w:numPr>
          <w:ilvl w:val="0"/>
          <w:numId w:val="1005"/>
        </w:numPr>
        <w:pStyle w:val="Compact"/>
      </w:pPr>
      <w:r>
        <w:t xml:space="preserve">Vedel, A. (2014). The Big Five and tertiary academic performance: A systematic review and meta-analysis.</w:t>
      </w:r>
      <w:r>
        <w:t xml:space="preserve"> </w:t>
      </w:r>
      <w:r>
        <w:rPr>
          <w:iCs/>
          <w:i/>
        </w:rPr>
        <w:t xml:space="preserve">Personality and Individual Differences, 71</w:t>
      </w:r>
      <w:r>
        <w:t xml:space="preserve">, 66–76. https://doi.org/10.1016/j.paid.2014.07.011</w:t>
      </w:r>
    </w:p>
    <w:bookmarkEnd w:id="46"/>
    <w:bookmarkStart w:id="47" w:name="methodological-theoretical-references"/>
    <w:p>
      <w:pPr>
        <w:pStyle w:val="Heading3"/>
      </w:pPr>
      <w:r>
        <w:t xml:space="preserve">Methodological / theoretical references</w:t>
      </w:r>
    </w:p>
    <w:p>
      <w:pPr>
        <w:numPr>
          <w:ilvl w:val="0"/>
          <w:numId w:val="1006"/>
        </w:numPr>
        <w:pStyle w:val="Compact"/>
      </w:pPr>
      <w:r>
        <w:t xml:space="preserve">Hartung, J., &amp; Knapp, G. (2001). A refined method for the meta-analysis of controlled clinical trials with binary outcome.</w:t>
      </w:r>
      <w:r>
        <w:t xml:space="preserve"> </w:t>
      </w:r>
      <w:r>
        <w:rPr>
          <w:iCs/>
          <w:i/>
        </w:rPr>
        <w:t xml:space="preserve">Statistics in Medicine, 20</w:t>
      </w:r>
      <w:r>
        <w:t xml:space="preserve">(24), 3875–3889. https://doi.org/10.1002/sim.1009</w:t>
      </w:r>
    </w:p>
    <w:p>
      <w:pPr>
        <w:numPr>
          <w:ilvl w:val="0"/>
          <w:numId w:val="1006"/>
        </w:numPr>
        <w:pStyle w:val="Compact"/>
      </w:pPr>
      <w:r>
        <w:t xml:space="preserve">Higgins, J. P. T., Thompson, S. G., &amp; Spiegelhalter, D. J. (2009). A re-evaluation of random-effects meta-analysis.</w:t>
      </w:r>
      <w:r>
        <w:t xml:space="preserve"> </w:t>
      </w:r>
      <w:r>
        <w:rPr>
          <w:iCs/>
          <w:i/>
        </w:rPr>
        <w:t xml:space="preserve">Journal of the Royal Statistical Society: Series A, 172</w:t>
      </w:r>
      <w:r>
        <w:t xml:space="preserve">(1), 137–159. https://doi.org/10.1111/j.1467-985X.2008.00552.x</w:t>
      </w:r>
    </w:p>
    <w:p>
      <w:pPr>
        <w:numPr>
          <w:ilvl w:val="0"/>
          <w:numId w:val="1006"/>
        </w:numPr>
        <w:pStyle w:val="Compac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numPr>
          <w:ilvl w:val="0"/>
          <w:numId w:val="1006"/>
        </w:numPr>
        <w:pStyle w:val="Compact"/>
      </w:pPr>
      <w:r>
        <w:t xml:space="preserve">Pintrich, P. R. (2004). A conceptual framework for assessing motivation and self-regulated learning in college students.</w:t>
      </w:r>
      <w:r>
        <w:t xml:space="preserve"> </w:t>
      </w:r>
      <w:r>
        <w:rPr>
          <w:iCs/>
          <w:i/>
        </w:rPr>
        <w:t xml:space="preserve">Educational Psychology Review, 16</w:t>
      </w:r>
      <w:r>
        <w:t xml:space="preserve">(4), 385–407. https://doi.org/10.1007/s10648-004-0006-x</w:t>
      </w:r>
    </w:p>
    <w:p>
      <w:pPr>
        <w:numPr>
          <w:ilvl w:val="0"/>
          <w:numId w:val="1006"/>
        </w:numPr>
        <w:pStyle w:val="Compact"/>
      </w:pPr>
      <w:r>
        <w:t xml:space="preserve">Zimmerman, B. J. (2000). Attaining self-regulation: A social cognitive perspective. In M. Boekaerts, P. R. Pintrich, &amp; M. Zeidner (Eds.),</w:t>
      </w:r>
      <w:r>
        <w:t xml:space="preserve"> </w:t>
      </w:r>
      <w:r>
        <w:rPr>
          <w:iCs/>
          <w:i/>
        </w:rPr>
        <w:t xml:space="preserve">Handbook of self-regulation</w:t>
      </w:r>
      <w:r>
        <w:t xml:space="preserve"> </w:t>
      </w:r>
      <w:r>
        <w:t xml:space="preserve">(pp. 13–39). Academic Press.</w:t>
      </w:r>
    </w:p>
    <w:p>
      <w:r>
        <w:pict>
          <v:rect style="width:0;height:1.5pt" o:hralign="center" o:hrstd="t" o:hr="t"/>
        </w:pict>
      </w:r>
    </w:p>
    <w:bookmarkEnd w:id="47"/>
    <w:bookmarkEnd w:id="48"/>
    <w:bookmarkStart w:id="49" w:name="appendix-a.-reproducibility-checklist"/>
    <w:p>
      <w:pPr>
        <w:pStyle w:val="Heading2"/>
      </w:pPr>
      <w:r>
        <w:t xml:space="preserve">Appendix A. Reproducibility checklist</w:t>
      </w:r>
    </w:p>
    <w:p>
      <w:pPr>
        <w:numPr>
          <w:ilvl w:val="0"/>
          <w:numId w:val="1007"/>
        </w:numPr>
        <w:pStyle w:val="Compact"/>
      </w:pPr>
      <w:r>
        <w:t xml:space="preserve">Source dataset:</w:t>
      </w:r>
      <w:r>
        <w:t xml:space="preserve"> </w:t>
      </w:r>
      <w:r>
        <w:rPr>
          <w:rStyle w:val="VerbatimChar"/>
        </w:rPr>
        <w:t xml:space="preserve">metaanalysis/conference_submissions/inputs/studies.csv</w:t>
      </w:r>
      <w:r>
        <w:t xml:space="preserve"> </w:t>
      </w:r>
      <w:r>
        <w:t xml:space="preserve">(derived from</w:t>
      </w:r>
      <w:r>
        <w:t xml:space="preserve"> </w:t>
      </w:r>
      <w:r>
        <w:rPr>
          <w:rStyle w:val="VerbatimChar"/>
        </w:rPr>
        <w:t xml:space="preserve">metaanalysis/analysis/data_extraction_populated.csv</w:t>
      </w:r>
      <w:r>
        <w:t xml:space="preserve">).</w:t>
      </w:r>
    </w:p>
    <w:p>
      <w:pPr>
        <w:numPr>
          <w:ilvl w:val="0"/>
          <w:numId w:val="1007"/>
        </w:numPr>
        <w:pStyle w:val="Compact"/>
      </w:pPr>
      <w:r>
        <w:t xml:space="preserve">Modality re-coding overrides:</w:t>
      </w:r>
      <w:r>
        <w:t xml:space="preserve"> </w:t>
      </w:r>
      <w:r>
        <w:rPr>
          <w:rStyle w:val="VerbatimChar"/>
        </w:rPr>
        <w:t xml:space="preserve">metaanalysis/conference_submissions/inputs/derive_studies_csv.py::MODALITY_OVERRIDES</w:t>
      </w:r>
      <w:r>
        <w:t xml:space="preserve">.</w:t>
      </w:r>
    </w:p>
    <w:p>
      <w:pPr>
        <w:numPr>
          <w:ilvl w:val="0"/>
          <w:numId w:val="1007"/>
        </w:numPr>
        <w:pStyle w:val="Compact"/>
      </w:pPr>
      <w:r>
        <w:t xml:space="preserve">Analysis script:</w:t>
      </w:r>
      <w:r>
        <w:t xml:space="preserve"> </w:t>
      </w:r>
      <w:r>
        <w:rPr>
          <w:rStyle w:val="VerbatimChar"/>
        </w:rPr>
        <w:t xml:space="preserve">metaanalysis/conference_submissions/ecel/scripts/run_modality_meta.py</w:t>
      </w:r>
      <w:r>
        <w:t xml:space="preserve">.</w:t>
      </w:r>
    </w:p>
    <w:p>
      <w:pPr>
        <w:numPr>
          <w:ilvl w:val="0"/>
          <w:numId w:val="1007"/>
        </w:numPr>
        <w:pStyle w:val="Compact"/>
      </w:pPr>
      <w:r>
        <w:t xml:space="preserve">Pooling primitives (REML + HKSJ + Fisher z):</w:t>
      </w:r>
      <w:r>
        <w:t xml:space="preserve"> </w:t>
      </w:r>
      <w:r>
        <w:rPr>
          <w:rStyle w:val="VerbatimChar"/>
        </w:rPr>
        <w:t xml:space="preserve">metaanalysis/analysis/pool.py</w:t>
      </w:r>
      <w:r>
        <w:t xml:space="preserve">.</w:t>
      </w:r>
    </w:p>
    <w:p>
      <w:pPr>
        <w:numPr>
          <w:ilvl w:val="0"/>
          <w:numId w:val="1007"/>
        </w:numPr>
        <w:pStyle w:val="Compact"/>
      </w:pPr>
      <w:r>
        <w:t xml:space="preserve">Result CSVs:</w:t>
      </w:r>
      <w:r>
        <w:t xml:space="preserve"> </w:t>
      </w:r>
      <w:r>
        <w:rPr>
          <w:rStyle w:val="VerbatimChar"/>
        </w:rPr>
        <w:t xml:space="preserve">metaanalysis/conference_submissions/ecel/results/{modality_pools, modality_qbetween, interaction_terms, sensitivity}.csv</w:t>
      </w:r>
      <w:r>
        <w:t xml:space="preserve">.</w:t>
      </w:r>
    </w:p>
    <w:p>
      <w:pPr>
        <w:numPr>
          <w:ilvl w:val="0"/>
          <w:numId w:val="1007"/>
        </w:numPr>
        <w:pStyle w:val="Compact"/>
      </w:pPr>
      <w:r>
        <w:t xml:space="preserve">Sensitivity narrative:</w:t>
      </w:r>
      <w:r>
        <w:t xml:space="preserve"> </w:t>
      </w:r>
      <w:r>
        <w:rPr>
          <w:rStyle w:val="VerbatimChar"/>
        </w:rPr>
        <w:t xml:space="preserve">metaanalysis/conference_submissions/ecel/results/sensitivity_analysis_summary.md</w:t>
      </w:r>
      <w:r>
        <w:t xml:space="preserve">.</w:t>
      </w:r>
    </w:p>
    <w:p>
      <w:pPr>
        <w:numPr>
          <w:ilvl w:val="0"/>
          <w:numId w:val="1007"/>
        </w:numPr>
        <w:pStyle w:val="Compact"/>
      </w:pPr>
      <w:r>
        <w:t xml:space="preserve">Preprint audit and modality-evidence citations:</w:t>
      </w:r>
      <w:r>
        <w:t xml:space="preserve"> </w:t>
      </w:r>
      <w:r>
        <w:rPr>
          <w:rStyle w:val="VerbatimChar"/>
        </w:rPr>
        <w:t xml:space="preserve">metaanalysis/conference_submissions/preprint_audit.md</w:t>
      </w:r>
      <w:r>
        <w:t xml:space="preserve">.</w:t>
      </w:r>
    </w:p>
    <w:p>
      <w:r>
        <w:pict>
          <v:rect style="width:0;height:1.5pt" o:hralign="center" o:hrstd="t" o:hr="t"/>
        </w:pict>
      </w:r>
    </w:p>
    <w:p>
      <w:pPr>
        <w:pStyle w:val="FirstParagraph"/>
      </w:pPr>
      <w:r>
        <w:rPr>
          <w:iCs/>
          <w:i/>
        </w:rPr>
        <w:t xml:space="preserve">End of manuscript draft. Word count target ~3500-4000; this draft is approximately 3700 words including References and Appendix.</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2026-05-10T04:39:33Z</dcterms:created>
  <dcterms:modified xsi:type="dcterms:W3CDTF">2026-05-10T04:39:33Z</dcterms:modified>
</cp:coreProperties>
</file>

<file path=docProps/custom.xml><?xml version="1.0" encoding="utf-8"?>
<Properties xmlns="http://schemas.openxmlformats.org/officeDocument/2006/custom-properties" xmlns:vt="http://schemas.openxmlformats.org/officeDocument/2006/docPropsVTypes"/>
</file>