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(https://doi.org/[TO BE FILLED AFTER PREPRINT DOI IS ASSIGNED]).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31 primary studies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larger studies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smallest studies in the corpus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(2 studies: A-25, A-26; A-10 was identified as a K-12 record but excluded as face-to-face),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42, 33153–33170.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that were retained for the systematic review; of these, 10 contributed direct Pearson correlations or β-converted effect sizes to the primary achievement pool (with two studies — A-28 Yu, 2021 and A-30 Kaspar et al., 2023 — providing β-converted effect sizes via Peterson and Brown's, 2005, approximation), and the remainder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