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A HEXACO 7-Typology Counterfactual Microsimulation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discloses a potential competing interest as detailed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Competing Interests</w:t>
      </w:r>
    </w:p>
    <w:p>
      <w:pPr>
        <w:spacing w:line="480" w:lineRule="auto" w:before="0" w:after="0"/>
      </w:pPr>
      <w:r>
        <w:rPr>
          <w:rFonts w:ascii="Times New Roman" w:hAnsi="Times New Roman" w:eastAsia="Times New Roman"/>
          <w:sz w:val="24"/>
        </w:rPr>
        <w:t>The author discloses the following potential competing interest: the author is the representative of SUNBLAZE Co., Ltd. (Tokyo, Japan), which provides HEXACO-JP, a proprietary Japanese-language HEXACO-based personality assessment service.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sponsor, or direct the research. (iii) The headline empirical findings (a null personality-intervention contrast, a positive structural-intervention contrast, and the reframing of HEXACO 7-typology as a stratification variable rather than an intervention or screening target) do not differentially favor commercial HEXACO-based assessment products.</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 using publicly available analytical software and previously collected data.</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The present study is a secondary analysis of these de-identified data and does not introduce any new contact with participants; consistent with standard practice for secondary analysis of de-identified data covered by the original IRB approval, no additional ethics review was sought.</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present manuscript is publicly available at SocArXiv (DOI 10.31235/osf.io/p2d8w_v1; https://osf.io/preprints/socarxiv/p2d8w_v1). The underlying N = 354 dataset and its descriptive analyses are available as a separate preprint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pPr>
        <w:spacing w:line="480" w:lineRule="auto" w:before="0" w:after="0"/>
      </w:pPr>
    </w:p>
    <w:p>
      <w:pPr>
        <w:spacing w:line="480" w:lineRule="auto" w:before="0" w:after="0"/>
      </w:pPr>
      <w:r>
        <w:rPr>
          <w:rFonts w:ascii="Times New Roman" w:hAnsi="Times New Roman" w:eastAsia="Times New Roman"/>
          <w:sz w:val="24"/>
        </w:rPr>
        <w:t>Note (journal submission): This manuscript is being submitted as a Stage 2 Registered Report. Conditional acceptance based on Stage 1 review of the v2.0 protocol document (https://osf.io/3y54u) is acknowledged in the accompanying cover letter.</w:t>
      </w:r>
    </w:p>
    <w:p>
      <w:r>
        <w:br w:type="page"/>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mental-health and labor-supply costs in Japan, where Ministry of Health, Labour and Welfare (MHLW) surveys document past-three-year power-harassment victimization declining from 32.5% (FY2016) to 19.3% (FY2023) across the enforcement period of the 2020 Power Harassment Prevention Law. The relative population-level magnitudes of plausible person-level and system-level interventions in this setting have not been compared in a pre-registered counterfactual framework. We pre-registered a HEXACO 7-typology microsimulation emulating a target trial of three interventions: (A) +0.3 SD on Honesty-Humility, Agreeableness, and Emotionality; (B) +0.40 SD on Honesty-Humility restricted to three low-prevalence typologies; and (C) a 20% cell-level propensity reduction, calibrated against three meta-analyses of organizational anti-harassment interventions and the −13.2-percentage-point MHLW FY2016–FY2023 decline. Using N = 354 observations partitioned into 14 cells (7 typologies × 2 genders) with cell-stratified bootstrap (B = 10,000), Beta-Binomial empirical Bayes shrinkage, and a BCa confidence-interval cascade, the personality contrasts are null (ΔP_A = −0.0061, 95% CI [−0.0207, +0.0062]; ΔP_B = −0.0059, 95% CI [−0.0207, +0.0066]), whereas the structural contrast is positive (ΔP_C = +0.0349, 95% CI [+0.0264, +0.0435]). The pre-registered intersection-union test classifies this as REVERSAL: in absolute magnitude, |ΔP_C|/|ΔP_A| ≈ 5.7. The classification is robust across four cultural-attenuation factors and nine pre-registered analytic choices. The findings are consistent with treating HEXACO 7-typology as a stratification variable rather than a personality-modification target, and we caution against reading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ind w:firstLine="720"/>
      </w:pPr>
      <w:r>
        <w:rPr>
          <w:rFonts w:ascii="Times New Roman" w:hAnsi="Times New Roman" w:eastAsia="Times New Roman"/>
          <w:sz w:val="24"/>
        </w:rPr>
        <w:t>Workplace harassment imposes substantial mental-health and labor-supply costs in industrialized economies, and Japan is a particularly informative setting because the Ministry of Health, Labour and Welfare (MHLW) has documented a 13.2-percentage-point decline in past-three-year power-harassment victimization (32.5% in FY2016 → 19.3% in FY2023) over the period spanning enforcement of the 2020 Power Harassment Prevention Law (MHLW, 2017, 2024). This temporal pattern raises a fundamental question for occupational psychology: when both individual personality traits and organizational structures predict harassment exposure, which side of the person–environment ledger contributes more to population-level prevalence change?</w:t>
      </w:r>
    </w:p>
    <w:p>
      <w:pPr>
        <w:spacing w:line="480" w:lineRule="auto" w:before="0" w:after="0"/>
        <w:ind w:firstLine="720"/>
      </w:pPr>
      <w:r>
        <w:rPr>
          <w:rFonts w:ascii="Times New Roman" w:hAnsi="Times New Roman" w:eastAsia="Times New Roman"/>
          <w:sz w:val="24"/>
        </w:rPr>
        <w:t>The present study addresses this question with a pre-registered counterfactual microsimulation that emulates a target trial of three interventions — two acting on personality (HEXACO Honesty-Humility, Agreeableness, Emotionality) and one acting on cell-level structural propensity. Under prior meta-analytic effect-size calibrations for each intervention type, the analysis classifies the configuration as REVERSAL: the structural-intervention contrast is approximately five-fold larger in absolute magnitude than the personality-intervention contrast.</w:t>
      </w:r>
    </w:p>
    <w:p>
      <w:pPr>
        <w:spacing w:line="480" w:lineRule="auto" w:before="0" w:after="0"/>
        <w:ind w:firstLine="720"/>
      </w:pPr>
      <w:r>
        <w:rPr>
          <w:rFonts w:ascii="Times New Roman" w:hAnsi="Times New Roman" w:eastAsia="Times New Roman"/>
          <w:sz w:val="24"/>
        </w:rPr>
        <w:t>The remainder of this paper unfolds as follows. Section II reviews the relevant background — the public-health framing of workplace harassment in Japan, the HEXACO 7-typology and its prior connection to harassment, microsimulation as a methodological bridge, the seven pre-registered hypotheses, and the study's contribution. Section III details the methods. Section IV reports the results. Section V discusses limitations and implications. Section VI concludes.</w:t>
      </w:r>
    </w:p>
    <w:p>
      <w:pPr>
        <w:spacing w:line="480" w:lineRule="auto" w:before="0" w:after="0"/>
        <w:jc w:val="center"/>
      </w:pPr>
      <w:r>
        <w:rPr>
          <w:rFonts w:ascii="Times New Roman" w:hAnsi="Times New Roman" w:eastAsia="Times New Roman"/>
          <w:b/>
          <w:sz w:val="24"/>
        </w:rPr>
        <w:t>Background and History</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the author identified seven robust HEXACO clusters in a Japanese sample of N = 13,668 (Tokiwa, 2026; herein "the centroid study"). The seven typologies — labeled here as types 0 through 6 — span the joint distribution of HEXACO domains and provide a parsimonious taxonomy for categorizing individuals according to their personality profile. The present study leverages these published centroids as fixed parameters for stratifying a smaller harassment-focused subsample (N = 354; Tokiwa, 2025).</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Purpose and significance of the present study</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(2025) and Tokiwa (2026); deposit details are provided in Methods (Data availability).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r>
        <w:br w:type="page"/>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clustering of N = 13,668 Japanese respondents. Per pre-registration,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soft-assignment with τ ∈ {0.5, 1.0, 2.0} × median nearest-neighbor distance was also computed as a pre-registered sensitivity analysis).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pre-registered four-step priority cascade:</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the jackknife acceleration parameter â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pre-registered rejection triggers: (i) bootstrap-stabilized variance ratio σ̂² / [μ̂(1 − μ̂)] &lt; 0.05; (ii) max(α̂, β̂) &gt; 100; (iii) (α̂ + β̂) / median(N_k) &gt; 5. Per-iteration (α̂, β̂) re-estimation in bootstrap follows Carlin and Louis (2000).</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values (cluster membership is not measured in the Labour Force Survey, and updating the cluster mass is therefore reserved for future work; this dependency is acknowledged as a pre-registered limitation);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the pre-registered headline-bootstrap rule, the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3. Empirical Bayes shrinkage scale ∈ {0.5×, 1.0× (main), 2.0×} prior pseudocount; 4. Cluster-proportion mass shift ∈ {−0.10, 0.0 (main), +0.10} (proxy for cluster-mass uncertainty under the pre-registered sensitivity specification; the full Cartesian sweep is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under the cluster-proportion limitation discussed in §Data availability).</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 pre-registered auxiliary statistic.</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the Hudgens and Halloran (2008) peer-effect framework, per pre-registration).</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the pre-registered positivity criterion, positivity is quantitatively diagnosed via the cell-level ratio ρ_{c, x = A} = (counterfactual cell N) / (observed cell N); cells with ρ &lt; 0.10 are flagged, and the intervention is downgraded from confirmatory to exploratory if flagged_weight ≥ 20%.</w:t>
      </w:r>
    </w:p>
    <w:p>
      <w:pPr>
        <w:spacing w:line="480" w:lineRule="auto" w:before="0" w:after="0"/>
        <w:ind w:firstLine="720"/>
      </w:pPr>
      <w:r>
        <w:rPr>
          <w:rFonts w:ascii="Times New Roman" w:hAnsi="Times New Roman" w:eastAsia="Times New Roman"/>
          <w:sz w:val="24"/>
        </w:rPr>
        <w:t xml:space="preserve">Counterfactual B applies a +0.40 SD shift in Honesty-Humility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the pre-registered specification "HH := HH + δ_B × SD(HH) for individuals in Cluster ∈ {0, 4, 6}" and follows Pearl's (2009) do-operator notation, which formalizes the targeted indicator "if i ∈ Cluster {0, 4, 6}; HH_i otherwise". Positivity is computed via ρ_{c, B} = (count of individuals reassigned into target Cluster c after the shift) / (count of individuals in target Cluster c at baseline) and is downgraded by the same positivity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 pp ≈ −40.6% relative). Positivity for C is trivially preserved (ρ ≡ 1) per pre-registration.</w:t>
      </w:r>
    </w:p>
    <w:p>
      <w:pPr>
        <w:spacing w:line="480" w:lineRule="auto" w:before="0" w:after="0"/>
        <w:ind w:firstLine="720"/>
      </w:pPr>
      <w:r>
        <w:rPr>
          <w:rFonts w:ascii="Times New Roman" w:hAnsi="Times New Roman" w:eastAsia="Times New Roman"/>
          <w:sz w:val="24"/>
        </w:rPr>
        <w:t>The H7 intersection-union test (Berger &amp; Hsu, 1996) computes one-sided 95% lower bounds L_BA and L_BC for ΔP_B − ΔP_A and ΔP_B − ΔP_C, respectively, with bootstrap-resampled cell data (B = 2,000). The configuration is classified per the pre-registered priority cascade:</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the pre-registered cultural-attenuation sweep,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a fixed random seed. HDF5 artifacts at each stage include the seed, the pre-registration version identifier, the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w:t>
      </w:r>
      <w:r>
        <w:rPr>
          <w:rFonts w:ascii="Times New Roman" w:hAnsi="Times New Roman" w:eastAsia="Times New Roman"/>
          <w:sz w:val="24"/>
        </w:rPr>
        <w:t>reproduce</w:t>
      </w:r>
      <w:r>
        <w:rPr>
          <w:rFonts w:ascii="Times New Roman" w:hAnsi="Times New Roman" w:eastAsia="Times New Roman"/>
          <w:sz w:val="24"/>
        </w:rPr>
        <w:t xml:space="preserve"> Makefile target encapsulate the full pipeline. A 56-test pytest suite (including the loader tests for the Statistics Bureau Labour Force Survey data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the project's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the project's GitHub repository and archived at OSF (DOI 10.17605/OSF.IO/3Y54U). The pre-registration is locked at OSF (DOI 10.17605/OSF.IO/3Y54U), and the v1.1 → v2.0 public diff document and v2.0 Methods Clarifications Log are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cascade prescribes for degenerate cells (X_c ∈ {0, N_c}). No cells required the BC or Percentile fallbacks, confirming that the pre-registered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pre-registered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cluster proportions to the conclusion (acknowledged as a pre-registered limitation, since cluster membership is not measured in the Labour Force Survey and the cluster mass cannot be re-weighted).</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We note that the priority-1 trigger uses the ΔP_B point estimate, which is downgraded to </w:t>
      </w:r>
      <w:r>
        <w:rPr>
          <w:rFonts w:ascii="Times New Roman" w:hAnsi="Times New Roman" w:eastAsia="Times New Roman"/>
          <w:i/>
          <w:sz w:val="24"/>
        </w:rPr>
        <w:t>exploratory</w:t>
      </w:r>
      <w:r>
        <w:rPr>
          <w:rFonts w:ascii="Times New Roman" w:hAnsi="Times New Roman" w:eastAsia="Times New Roman"/>
          <w:sz w:val="24"/>
        </w:rPr>
        <w:t xml:space="preserve"> under the pre-registered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the pre-registered positivity rule). Counterfactual B's cell positivity ratio ρ_{c, B} was 44.5% flagged (i.e., 44.5% of population weight in cells where the post-intervention expected count is &lt; 10% of observed), triggering the pre-registered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pre-registered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via stability analyses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the pre-registered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priority-1 condition (point ΔP_B &lt; point ΔP_C; L_BC = −0.0544 also lies below zero in the CI cascade, providing CI-based corroboration of REVERSAL that does not rely on the ΔP_B point estimate, which is downgraded to exploratory under the pre-registered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Cluster-proportion limitation (cluster mass fixed at the Tokiwa 2026 values)</w:t>
      </w:r>
    </w:p>
    <w:p>
      <w:pPr>
        <w:spacing w:line="480" w:lineRule="auto" w:before="0" w:after="0"/>
        <w:ind w:firstLine="720"/>
      </w:pPr>
      <w:r>
        <w:rPr>
          <w:rFonts w:ascii="Times New Roman" w:hAnsi="Times New Roman" w:eastAsia="Times New Roman"/>
          <w:sz w:val="24"/>
        </w:rPr>
        <w:t>The 7-cluster proportions used in Stage 1 reweighting remain fixed at the Tokiwa (2026) values for N = 13,668; only the gender marginal is updated to the Statistics Bureau (MIC) 2022 working-population value. This is a conscious limitation, acknowledged in pre-registration: the Labour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Predicted values are computed via 14-cell HEXACO 7-typology × gender propensity weighted by Statistics Bureau (MIC) Labour Force Survey 2022 marginals. Bootstrap 95% CIs use B = 10,000 cell-stratified resamples per the pre-registered headline-bootstrap rule. Tier classification follows the pre-registered four-tier hierarchy.</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B0 trivially attains MAPE = 0 by construction (its prediction equals MHLW grand mean). H2 was tested via Bonferroni-Holm-corrected pairwise inequalities at one-sided α = 0.05 and Page's L (1963) ordinal trend test as auxiliary. </w:t>
      </w:r>
      <w:r>
        <w:rPr>
          <w:rFonts w:ascii="Times New Roman" w:hAnsi="Times New Roman" w:eastAsia="Times New Roman"/>
          <w:b/>
          <w:sz w:val="24"/>
        </w:rPr>
        <w:t>0 of 4 pairs were confirmed</w:t>
      </w:r>
      <w:r>
        <w:rPr>
          <w:rFonts w:ascii="Times New Roman" w:hAnsi="Times New Roman" w:eastAsia="Times New Roman"/>
          <w:sz w:val="24"/>
        </w:rPr>
        <w:t xml:space="preserve">; Page's L statistic </w:t>
      </w:r>
      <w:r>
        <w:rPr>
          <w:rFonts w:ascii="Times New Roman" w:hAnsi="Times New Roman" w:eastAsia="Times New Roman"/>
          <w:i/>
          <w:sz w:val="24"/>
        </w:rPr>
        <w:t>p</w:t>
      </w:r>
      <w:r>
        <w:rPr>
          <w:rFonts w:ascii="Times New Roman" w:hAnsi="Times New Roman" w:eastAsia="Times New Roman"/>
          <w:sz w:val="24"/>
        </w:rPr>
        <w:t xml:space="preserve"> = 0.9757. H2 decision: ambiguous_or_reversed.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Counterfactual operationalization follows the pre-registered specification.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(sign convention). Bootstrap CIs use B = 2,000 cell-stratified resamples. The H7 IUT (Berger &amp; Hsu, 1996) computes one-sided 95% lower bounds L_BA and L_BC. Classification follows the pre-registered priority cascade: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b/>
          <w:sz w:val="24"/>
        </w:rPr>
        <w:t>H7 IUT:</w:t>
      </w:r>
      <w:r>
        <w:rPr>
          <w:rFonts w:ascii="Times New Roman" w:hAnsi="Times New Roman" w:eastAsia="Times New Roman"/>
          <w:sz w:val="24"/>
        </w:rPr>
        <w:t xml:space="preserve"> L_BA = −0.0011, L_BC = −0.0544; point ΔP_B &lt; point ΔP_C triggers the pre-registered priority-1 condition → </w:t>
      </w:r>
      <w:r>
        <w:rPr>
          <w:rFonts w:ascii="Times New Roman" w:hAnsi="Times New Roman" w:eastAsia="Times New Roman"/>
          <w:b/>
          <w:sz w:val="24"/>
        </w:rPr>
        <w:t>REVERSAL</w:t>
      </w:r>
    </w:p>
    <w:p>
      <w:pPr>
        <w:spacing w:line="480" w:lineRule="auto" w:before="0" w:after="0"/>
      </w:pPr>
      <w:r>
        <w:rPr>
          <w:rFonts w:ascii="Times New Roman" w:hAnsi="Times New Roman" w:eastAsia="Times New Roman"/>
          <w:b/>
          <w:sz w:val="24"/>
        </w:rPr>
        <w:t>Positivity diagnostic (per the pre-registered positivity rule):</w:t>
      </w:r>
      <w:r>
        <w:rPr>
          <w:rFonts w:ascii="Times New Roman" w:hAnsi="Times New Roman" w:eastAsia="Times New Roman"/>
          <w:sz w:val="24"/>
        </w:rPr>
        <w:t xml:space="preserve"> Counterfactual A and C trivially preserve positivity. Counterfactual B's flagged-weight share = 44.5%; the pre-registered downgrade rule is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Hypothesis classification follows the pre-registered specification (the four-tier hierarchy for H1 and the IUT priority cascade for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the pre-registered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The 14-cell vs 28-cell sensitivity (28-cell adds × 2 roles, not a re-split of gender) is reported as a robustness check on role-stratification stability rather than as a re-test of gender invariance.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jc w:val="center"/>
      </w:pPr>
      <w:r>
        <w:drawing>
          <wp:inline xmlns:a="http://schemas.openxmlformats.org/drawingml/2006/main" xmlns:pic="http://schemas.openxmlformats.org/drawingml/2006/picture">
            <wp:extent cx="5029200" cy="2352213"/>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10"/>
                    <a:stretch>
                      <a:fillRect/>
                    </a:stretch>
                  </pic:blipFill>
                  <pic:spPr>
                    <a:xfrm>
                      <a:off x="0" y="0"/>
                      <a:ext cx="5029200" cy="2352213"/>
                    </a:xfrm>
                    <a:prstGeom prst="rect"/>
                  </pic:spPr>
                </pic:pic>
              </a:graphicData>
            </a:graphic>
          </wp:inline>
        </w:drawing>
      </w:r>
    </w:p>
    <w:p>
      <w:pPr>
        <w:spacing w:line="480" w:lineRule="auto" w:before="0" w:after="0"/>
      </w:pPr>
      <w:r>
        <w:rPr>
          <w:rFonts w:ascii="Times New Roman" w:hAnsi="Times New Roman" w:eastAsia="Times New Roman"/>
          <w:sz w:val="24"/>
        </w:rPr>
        <w:t>A box-and-arrow diagram of the nine pre-registered pipeline stages, showing the data inputs (N = 354 individual data; Tokiwa, 2026, 7-cluster centroids; Statistics Bureau (MIC) Labour Force Survey 2022) flowing through Stages 0–8 with their HDF5 outputs.</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jc w:val="center"/>
      </w:pPr>
      <w:r>
        <w:drawing>
          <wp:inline xmlns:a="http://schemas.openxmlformats.org/drawingml/2006/main" xmlns:pic="http://schemas.openxmlformats.org/drawingml/2006/picture">
            <wp:extent cx="5029200" cy="5569735"/>
            <wp:docPr id="2" name="Picture 2"/>
            <wp:cNvGraphicFramePr>
              <a:graphicFrameLocks noChangeAspect="1"/>
            </wp:cNvGraphicFramePr>
            <a:graphic>
              <a:graphicData uri="http://schemas.openxmlformats.org/drawingml/2006/picture">
                <pic:pic>
                  <pic:nvPicPr>
                    <pic:cNvPr id="0" name="figure2_cell_propensity.png"/>
                    <pic:cNvPicPr/>
                  </pic:nvPicPr>
                  <pic:blipFill>
                    <a:blip r:embed="rId11"/>
                    <a:stretch>
                      <a:fillRect/>
                    </a:stretch>
                  </pic:blipFill>
                  <pic:spPr>
                    <a:xfrm>
                      <a:off x="0" y="0"/>
                      <a:ext cx="5029200" cy="5569735"/>
                    </a:xfrm>
                    <a:prstGeom prst="rect"/>
                  </pic:spPr>
                </pic:pic>
              </a:graphicData>
            </a:graphic>
          </wp:inline>
        </w:drawing>
      </w:r>
    </w:p>
    <w:p>
      <w:pPr>
        <w:spacing w:line="480" w:lineRule="auto" w:before="0" w:after="0"/>
      </w:pPr>
      <w:r>
        <w:rPr>
          <w:rFonts w:ascii="Times New Roman" w:hAnsi="Times New Roman" w:eastAsia="Times New Roman"/>
          <w:sz w:val="24"/>
        </w:rPr>
        <w:t>A heatmap of P̂_c across 7 HEXACO clusters × 2 genders, with cell sizes overlaid. Cell ordering follows the pre-registered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bootstrap CIs computed under the pre-registered cascade.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jc w:val="center"/>
      </w:pPr>
      <w:r>
        <w:drawing>
          <wp:inline xmlns:a="http://schemas.openxmlformats.org/drawingml/2006/main" xmlns:pic="http://schemas.openxmlformats.org/drawingml/2006/picture">
            <wp:extent cx="5029200" cy="3330178"/>
            <wp:docPr id="3" name="Picture 3"/>
            <wp:cNvGraphicFramePr>
              <a:graphicFrameLocks noChangeAspect="1"/>
            </wp:cNvGraphicFramePr>
            <a:graphic>
              <a:graphicData uri="http://schemas.openxmlformats.org/drawingml/2006/picture">
                <pic:pic>
                  <pic:nvPicPr>
                    <pic:cNvPr id="0" name="figure3_prevalence_vs_mhlw.png"/>
                    <pic:cNvPicPr/>
                  </pic:nvPicPr>
                  <pic:blipFill>
                    <a:blip r:embed="rId12"/>
                    <a:stretch>
                      <a:fillRect/>
                    </a:stretch>
                  </pic:blipFill>
                  <pic:spPr>
                    <a:xfrm>
                      <a:off x="0" y="0"/>
                      <a:ext cx="5029200" cy="3330178"/>
                    </a:xfrm>
                    <a:prstGeom prst="rect"/>
                  </pic:spPr>
                </pic:pic>
              </a:graphicData>
            </a:graphic>
          </wp:inline>
        </w:drawing>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jc w:val="center"/>
      </w:pPr>
      <w:r>
        <w:drawing>
          <wp:inline xmlns:a="http://schemas.openxmlformats.org/drawingml/2006/main" xmlns:pic="http://schemas.openxmlformats.org/drawingml/2006/picture">
            <wp:extent cx="5029200" cy="2597085"/>
            <wp:docPr id="4" name="Picture 4"/>
            <wp:cNvGraphicFramePr>
              <a:graphicFrameLocks noChangeAspect="1"/>
            </wp:cNvGraphicFramePr>
            <a:graphic>
              <a:graphicData uri="http://schemas.openxmlformats.org/drawingml/2006/picture">
                <pic:pic>
                  <pic:nvPicPr>
                    <pic:cNvPr id="0" name="figure4_sensitivity_tornado.png"/>
                    <pic:cNvPicPr/>
                  </pic:nvPicPr>
                  <pic:blipFill>
                    <a:blip r:embed="rId13"/>
                    <a:stretch>
                      <a:fillRect/>
                    </a:stretch>
                  </pic:blipFill>
                  <pic:spPr>
                    <a:xfrm>
                      <a:off x="0" y="0"/>
                      <a:ext cx="5029200" cy="2597085"/>
                    </a:xfrm>
                    <a:prstGeom prst="rect"/>
                  </pic:spPr>
                </pic:pic>
              </a:graphicData>
            </a:graphic>
          </wp:inline>
        </w:drawing>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jc w:val="center"/>
      </w:pPr>
      <w:r>
        <w:drawing>
          <wp:inline xmlns:a="http://schemas.openxmlformats.org/drawingml/2006/main" xmlns:pic="http://schemas.openxmlformats.org/drawingml/2006/picture">
            <wp:extent cx="5029200" cy="2510755"/>
            <wp:docPr id="5" name="Picture 5"/>
            <wp:cNvGraphicFramePr>
              <a:graphicFrameLocks noChangeAspect="1"/>
            </wp:cNvGraphicFramePr>
            <a:graphic>
              <a:graphicData uri="http://schemas.openxmlformats.org/drawingml/2006/picture">
                <pic:pic>
                  <pic:nvPicPr>
                    <pic:cNvPr id="0" name="figure5_counterfactual_forest.png"/>
                    <pic:cNvPicPr/>
                  </pic:nvPicPr>
                  <pic:blipFill>
                    <a:blip r:embed="rId14"/>
                    <a:stretch>
                      <a:fillRect/>
                    </a:stretch>
                  </pic:blipFill>
                  <pic:spPr>
                    <a:xfrm>
                      <a:off x="0" y="0"/>
                      <a:ext cx="5029200" cy="2510755"/>
                    </a:xfrm>
                    <a:prstGeom prst="rect"/>
                  </pic:spPr>
                </pic:pic>
              </a:graphicData>
            </a:graphic>
          </wp:inline>
        </w:drawing>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jc w:val="center"/>
      </w:pPr>
      <w:r>
        <w:drawing>
          <wp:inline xmlns:a="http://schemas.openxmlformats.org/drawingml/2006/main" xmlns:pic="http://schemas.openxmlformats.org/drawingml/2006/picture">
            <wp:extent cx="5029200" cy="3388812"/>
            <wp:docPr id="6" name="Picture 6"/>
            <wp:cNvGraphicFramePr>
              <a:graphicFrameLocks noChangeAspect="1"/>
            </wp:cNvGraphicFramePr>
            <a:graphic>
              <a:graphicData uri="http://schemas.openxmlformats.org/drawingml/2006/picture">
                <pic:pic>
                  <pic:nvPicPr>
                    <pic:cNvPr id="0" name="figure6_transportability.png"/>
                    <pic:cNvPicPr/>
                  </pic:nvPicPr>
                  <pic:blipFill>
                    <a:blip r:embed="rId15"/>
                    <a:stretch>
                      <a:fillRect/>
                    </a:stretch>
                  </pic:blipFill>
                  <pic:spPr>
                    <a:xfrm>
                      <a:off x="0" y="0"/>
                      <a:ext cx="5029200" cy="3388812"/>
                    </a:xfrm>
                    <a:prstGeom prst="rect"/>
                  </pic:spPr>
                </pic:pic>
              </a:graphicData>
            </a:graphic>
          </wp:inline>
        </w:drawing>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Illustrative schematic; the underlying values come from the pre-registered specification.</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 xml:space="preserve">All figures are saved at 300 DPI in PNG and PDF formats; vector versions (SVG) are also produced for journal submission. PNG embeds are used in </w:t>
      </w:r>
      <w:r>
        <w:rPr>
          <w:rFonts w:ascii="Times New Roman" w:hAnsi="Times New Roman" w:eastAsia="Times New Roman"/>
          <w:sz w:val="24"/>
        </w:rPr>
        <w:t>manuscript_preprint.docx</w:t>
      </w:r>
      <w:r>
        <w:rPr>
          <w:rFonts w:ascii="Times New Roman" w:hAnsi="Times New Roman" w:eastAsia="Times New Roman"/>
          <w:sz w:val="24"/>
        </w:rPr>
        <w:t xml:space="preserve"> and </w:t>
      </w:r>
      <w:r>
        <w:rPr>
          <w:rFonts w:ascii="Times New Roman" w:hAnsi="Times New Roman" w:eastAsia="Times New Roman"/>
          <w:sz w:val="24"/>
        </w:rPr>
        <w:t>manuscript_journal.docx</w:t>
      </w:r>
      <w:r>
        <w:rPr>
          <w:rFonts w:ascii="Times New Roman" w:hAnsi="Times New Roman" w:eastAsia="Times New Roman"/>
          <w:sz w:val="24"/>
        </w:rPr>
        <w:t>;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